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ADE31" w14:textId="77777777" w:rsidR="00A80D9F" w:rsidRPr="00A80D9F" w:rsidRDefault="00A80D9F" w:rsidP="00A80D9F">
      <w:pPr>
        <w:spacing w:before="0" w:after="160" w:line="259" w:lineRule="auto"/>
        <w:jc w:val="both"/>
        <w:rPr>
          <w:rFonts w:asciiTheme="minorHAnsi" w:eastAsiaTheme="minorHAnsi" w:hAnsiTheme="minorHAnsi" w:cstheme="minorBidi"/>
          <w:b/>
          <w:sz w:val="24"/>
          <w:szCs w:val="20"/>
        </w:rPr>
      </w:pPr>
      <w:r w:rsidRPr="00A80D9F">
        <w:rPr>
          <w:rFonts w:asciiTheme="minorHAnsi" w:eastAsiaTheme="minorHAnsi" w:hAnsiTheme="minorHAnsi" w:cstheme="minorBidi"/>
          <w:b/>
          <w:sz w:val="24"/>
          <w:szCs w:val="20"/>
        </w:rPr>
        <w:t xml:space="preserve">Lista de verificare a respectării principiilor DNSH </w:t>
      </w:r>
    </w:p>
    <w:p w14:paraId="703AD17E" w14:textId="77777777" w:rsidR="00A80D9F" w:rsidRPr="00A80D9F" w:rsidRDefault="00A80D9F" w:rsidP="00A80D9F">
      <w:pPr>
        <w:spacing w:before="0" w:after="160" w:line="259" w:lineRule="auto"/>
        <w:jc w:val="both"/>
        <w:rPr>
          <w:rFonts w:asciiTheme="minorHAnsi" w:eastAsiaTheme="minorHAnsi" w:hAnsiTheme="minorHAnsi" w:cstheme="minorBidi"/>
          <w:b/>
          <w:bCs/>
          <w:sz w:val="24"/>
          <w:szCs w:val="20"/>
        </w:rPr>
      </w:pPr>
      <w:r w:rsidRPr="00A80D9F">
        <w:rPr>
          <w:rFonts w:asciiTheme="minorHAnsi" w:eastAsiaTheme="minorHAnsi" w:hAnsiTheme="minorHAnsi" w:cstheme="minorBidi"/>
          <w:b/>
          <w:sz w:val="24"/>
          <w:szCs w:val="20"/>
        </w:rPr>
        <w:t xml:space="preserve">Investiția </w:t>
      </w:r>
      <w:r w:rsidRPr="00A80D9F">
        <w:rPr>
          <w:rFonts w:asciiTheme="minorHAnsi" w:eastAsiaTheme="minorHAnsi" w:hAnsiTheme="minorHAnsi" w:cstheme="minorBidi"/>
          <w:b/>
          <w:bCs/>
          <w:szCs w:val="20"/>
        </w:rPr>
        <w:t xml:space="preserve">I1. Campania națională de împădurire și reîmpădurire, inclusiv păduri urbane </w:t>
      </w:r>
    </w:p>
    <w:p w14:paraId="1B83CADB" w14:textId="77777777" w:rsidR="00A80D9F" w:rsidRPr="00A80D9F" w:rsidRDefault="00A80D9F" w:rsidP="00A80D9F">
      <w:pPr>
        <w:spacing w:before="0" w:after="160" w:line="259" w:lineRule="auto"/>
        <w:jc w:val="both"/>
        <w:rPr>
          <w:rFonts w:asciiTheme="minorHAnsi" w:eastAsiaTheme="minorHAnsi" w:hAnsiTheme="minorHAnsi" w:cstheme="minorBidi"/>
          <w:b/>
          <w:sz w:val="24"/>
          <w:szCs w:val="20"/>
        </w:rPr>
      </w:pPr>
    </w:p>
    <w:p w14:paraId="2A0A059B" w14:textId="30528927" w:rsidR="00A80D9F" w:rsidRPr="00A80D9F" w:rsidRDefault="00A80D9F" w:rsidP="00A80D9F">
      <w:pPr>
        <w:spacing w:before="0" w:after="160" w:line="259" w:lineRule="auto"/>
        <w:jc w:val="both"/>
        <w:rPr>
          <w:rFonts w:asciiTheme="minorHAnsi" w:eastAsiaTheme="minorHAnsi" w:hAnsiTheme="minorHAnsi" w:cstheme="minorBidi"/>
          <w:b/>
          <w:sz w:val="24"/>
          <w:szCs w:val="20"/>
        </w:rPr>
      </w:pPr>
      <w:r w:rsidRPr="00A80D9F">
        <w:rPr>
          <w:rFonts w:asciiTheme="minorHAnsi" w:eastAsiaTheme="minorHAnsi" w:hAnsiTheme="minorHAnsi" w:cstheme="minorBidi"/>
          <w:b/>
          <w:sz w:val="24"/>
          <w:szCs w:val="20"/>
        </w:rPr>
        <w:t>Prin proiectul cu titlul</w:t>
      </w:r>
      <w:r w:rsidR="005A7C4C">
        <w:rPr>
          <w:rFonts w:asciiTheme="minorHAnsi" w:eastAsiaTheme="minorHAnsi" w:hAnsiTheme="minorHAnsi" w:cstheme="minorBidi"/>
          <w:b/>
          <w:sz w:val="24"/>
          <w:szCs w:val="20"/>
        </w:rPr>
        <w:t xml:space="preserve"> </w:t>
      </w:r>
      <w:bookmarkStart w:id="0" w:name="_Hlk126740554"/>
      <w:sdt>
        <w:sdtPr>
          <w:rPr>
            <w:rStyle w:val="Style4Char"/>
            <w:rFonts w:eastAsiaTheme="minorHAnsi"/>
          </w:rPr>
          <w:id w:val="1829714219"/>
          <w:placeholder>
            <w:docPart w:val="A759632BD4144FA7BD0C9663AA8280E1"/>
          </w:placeholder>
          <w:showingPlcHdr/>
        </w:sdtPr>
        <w:sdtEndPr>
          <w:rPr>
            <w:rStyle w:val="DefaultParagraphFont"/>
            <w:rFonts w:eastAsia="Times New Roman" w:cstheme="minorHAnsi"/>
            <w:b w:val="0"/>
            <w:sz w:val="20"/>
          </w:rPr>
        </w:sdtEndPr>
        <w:sdtContent>
          <w:r w:rsidR="005A7C4C" w:rsidRPr="005728E1">
            <w:rPr>
              <w:rFonts w:cstheme="minorHAnsi"/>
              <w:color w:val="808080" w:themeColor="background1" w:themeShade="80"/>
              <w:highlight w:val="lightGray"/>
            </w:rPr>
            <w:t>[….]</w:t>
          </w:r>
        </w:sdtContent>
      </w:sdt>
      <w:bookmarkEnd w:id="0"/>
      <w:r w:rsidRPr="00A80D9F">
        <w:rPr>
          <w:rFonts w:asciiTheme="minorHAnsi" w:eastAsiaTheme="minorHAnsi" w:hAnsiTheme="minorHAnsi" w:cstheme="minorBidi"/>
          <w:b/>
          <w:sz w:val="24"/>
          <w:szCs w:val="20"/>
        </w:rPr>
        <w:t xml:space="preserve"> se propune </w:t>
      </w:r>
      <w:sdt>
        <w:sdtPr>
          <w:rPr>
            <w:rStyle w:val="Style4Char"/>
            <w:rFonts w:eastAsiaTheme="minorHAnsi"/>
          </w:rPr>
          <w:id w:val="868568667"/>
          <w:placeholder>
            <w:docPart w:val="9BB5C4C1B7944C53A012977E14E38AE2"/>
          </w:placeholder>
          <w:showingPlcHdr/>
        </w:sdtPr>
        <w:sdtEndPr>
          <w:rPr>
            <w:rStyle w:val="DefaultParagraphFont"/>
            <w:rFonts w:eastAsia="Times New Roman" w:cstheme="minorHAnsi"/>
            <w:b w:val="0"/>
            <w:sz w:val="20"/>
          </w:rPr>
        </w:sdtEndPr>
        <w:sdtContent>
          <w:r w:rsidR="005A7C4C" w:rsidRPr="005728E1">
            <w:rPr>
              <w:rFonts w:cstheme="minorHAnsi"/>
              <w:color w:val="808080" w:themeColor="background1" w:themeShade="80"/>
              <w:highlight w:val="lightGray"/>
            </w:rPr>
            <w:t>[….]</w:t>
          </w:r>
        </w:sdtContent>
      </w:sdt>
    </w:p>
    <w:p w14:paraId="5D85E12D" w14:textId="77777777" w:rsidR="00A80D9F" w:rsidRPr="00A80D9F" w:rsidRDefault="00A80D9F" w:rsidP="00A80D9F">
      <w:pPr>
        <w:spacing w:before="0" w:after="160" w:line="259" w:lineRule="auto"/>
        <w:jc w:val="both"/>
        <w:rPr>
          <w:rFonts w:asciiTheme="minorHAnsi" w:eastAsiaTheme="minorHAnsi" w:hAnsiTheme="minorHAnsi" w:cstheme="minorBidi"/>
          <w:i/>
          <w:sz w:val="24"/>
          <w:szCs w:val="20"/>
        </w:rPr>
      </w:pPr>
      <w:r w:rsidRPr="00A80D9F">
        <w:rPr>
          <w:rFonts w:asciiTheme="minorHAnsi" w:eastAsiaTheme="minorHAnsi" w:hAnsiTheme="minorHAnsi" w:cstheme="minorBidi"/>
          <w:i/>
          <w:sz w:val="24"/>
          <w:szCs w:val="20"/>
        </w:rPr>
        <w:t xml:space="preserve"> (scurtă descriere a activităților/achizițiilor/investițiilor propuse prin proiect)</w:t>
      </w:r>
    </w:p>
    <w:p w14:paraId="7EE89980" w14:textId="77777777" w:rsidR="00A80D9F" w:rsidRPr="00A80D9F" w:rsidRDefault="00A80D9F" w:rsidP="00A80D9F">
      <w:pPr>
        <w:tabs>
          <w:tab w:val="left" w:pos="3150"/>
        </w:tabs>
        <w:spacing w:before="0" w:after="160" w:line="259" w:lineRule="auto"/>
        <w:jc w:val="both"/>
        <w:rPr>
          <w:rFonts w:asciiTheme="minorHAnsi" w:eastAsia="Arial" w:hAnsiTheme="minorHAnsi" w:cstheme="minorBidi"/>
          <w:sz w:val="24"/>
          <w:szCs w:val="20"/>
        </w:rPr>
      </w:pPr>
      <w:r w:rsidRPr="00A80D9F">
        <w:rPr>
          <w:rFonts w:asciiTheme="minorHAnsi" w:eastAsiaTheme="minorHAnsi" w:hAnsiTheme="minorHAnsi" w:cstheme="minorBidi"/>
          <w:b/>
          <w:bCs/>
          <w:szCs w:val="20"/>
        </w:rPr>
        <w:t>I1. Campania națională de împădurire și reîmpădurire, inclusiv păduri urbane</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91"/>
        <w:gridCol w:w="2243"/>
        <w:gridCol w:w="2019"/>
        <w:gridCol w:w="2074"/>
        <w:gridCol w:w="6833"/>
      </w:tblGrid>
      <w:tr w:rsidR="00A80D9F" w:rsidRPr="00A80D9F" w14:paraId="67178C32" w14:textId="77777777" w:rsidTr="00E265FE">
        <w:trPr>
          <w:trHeight w:val="1070"/>
        </w:trPr>
        <w:tc>
          <w:tcPr>
            <w:tcW w:w="180" w:type="pct"/>
            <w:tcBorders>
              <w:top w:val="single" w:sz="8" w:space="0" w:color="000000"/>
              <w:left w:val="single" w:sz="8" w:space="0" w:color="000000"/>
              <w:bottom w:val="single" w:sz="8" w:space="0" w:color="000000"/>
              <w:right w:val="single" w:sz="8" w:space="0" w:color="000000"/>
            </w:tcBorders>
            <w:shd w:val="clear" w:color="auto" w:fill="CCCCCC"/>
            <w:vAlign w:val="center"/>
          </w:tcPr>
          <w:p w14:paraId="3C55CA99" w14:textId="77777777" w:rsidR="00A80D9F" w:rsidRPr="00A80D9F" w:rsidRDefault="00A80D9F" w:rsidP="00A80D9F">
            <w:pPr>
              <w:spacing w:before="0" w:after="160" w:line="256" w:lineRule="auto"/>
              <w:jc w:val="center"/>
              <w:rPr>
                <w:rFonts w:asciiTheme="minorHAnsi" w:eastAsiaTheme="minorHAnsi" w:hAnsiTheme="minorHAnsi" w:cstheme="minorBidi"/>
                <w:i/>
                <w:sz w:val="24"/>
                <w:szCs w:val="20"/>
              </w:rPr>
            </w:pPr>
          </w:p>
        </w:tc>
        <w:tc>
          <w:tcPr>
            <w:tcW w:w="821" w:type="pct"/>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424A163D" w14:textId="77777777" w:rsidR="00A80D9F" w:rsidRPr="00A80D9F" w:rsidRDefault="00A80D9F" w:rsidP="00A80D9F">
            <w:pPr>
              <w:spacing w:before="0" w:after="160" w:line="256" w:lineRule="auto"/>
              <w:jc w:val="center"/>
              <w:rPr>
                <w:rFonts w:asciiTheme="minorHAnsi" w:eastAsiaTheme="minorHAnsi" w:hAnsiTheme="minorHAnsi" w:cstheme="minorBidi"/>
                <w:i/>
                <w:sz w:val="24"/>
                <w:szCs w:val="20"/>
              </w:rPr>
            </w:pPr>
            <w:r w:rsidRPr="00A80D9F">
              <w:rPr>
                <w:rFonts w:asciiTheme="minorHAnsi" w:eastAsiaTheme="minorHAnsi" w:hAnsiTheme="minorHAnsi" w:cstheme="minorBidi"/>
                <w:i/>
                <w:sz w:val="24"/>
                <w:szCs w:val="20"/>
              </w:rPr>
              <w:t>Obiectiv de mediu evaluat</w:t>
            </w:r>
          </w:p>
          <w:p w14:paraId="2F440704" w14:textId="77777777" w:rsidR="00A80D9F" w:rsidRPr="00A80D9F" w:rsidRDefault="00A80D9F" w:rsidP="00A80D9F">
            <w:pPr>
              <w:spacing w:before="0" w:after="160" w:line="256" w:lineRule="auto"/>
              <w:jc w:val="center"/>
              <w:rPr>
                <w:rFonts w:asciiTheme="minorHAnsi" w:eastAsiaTheme="minorHAnsi" w:hAnsiTheme="minorHAnsi" w:cstheme="minorBidi"/>
                <w:i/>
                <w:sz w:val="24"/>
                <w:szCs w:val="20"/>
              </w:rPr>
            </w:pPr>
            <w:r w:rsidRPr="00A80D9F">
              <w:rPr>
                <w:rFonts w:asciiTheme="minorHAnsi" w:eastAsiaTheme="minorHAnsi" w:hAnsiTheme="minorHAnsi" w:cstheme="minorBidi"/>
                <w:i/>
                <w:sz w:val="24"/>
                <w:szCs w:val="20"/>
              </w:rPr>
              <w:t>conform principiului DNSH</w:t>
            </w:r>
          </w:p>
        </w:tc>
        <w:tc>
          <w:tcPr>
            <w:tcW w:w="739" w:type="pct"/>
            <w:vAlign w:val="center"/>
          </w:tcPr>
          <w:p w14:paraId="5FCDEAA9" w14:textId="77777777" w:rsidR="00A80D9F" w:rsidRPr="00A80D9F" w:rsidRDefault="00A80D9F" w:rsidP="00A80D9F">
            <w:pPr>
              <w:spacing w:before="0" w:after="160" w:line="256" w:lineRule="auto"/>
              <w:jc w:val="center"/>
              <w:rPr>
                <w:rFonts w:asciiTheme="minorHAnsi" w:eastAsiaTheme="minorHAnsi" w:hAnsiTheme="minorHAnsi" w:cstheme="minorBidi"/>
                <w:i/>
                <w:sz w:val="24"/>
                <w:szCs w:val="20"/>
              </w:rPr>
            </w:pPr>
            <w:r w:rsidRPr="00A80D9F">
              <w:rPr>
                <w:rFonts w:asciiTheme="minorHAnsi" w:eastAsiaTheme="minorHAnsi" w:hAnsiTheme="minorHAnsi" w:cstheme="minorBidi"/>
                <w:i/>
                <w:sz w:val="24"/>
                <w:szCs w:val="20"/>
              </w:rPr>
              <w:t>Evaluare simplificată</w:t>
            </w:r>
          </w:p>
        </w:tc>
        <w:tc>
          <w:tcPr>
            <w:tcW w:w="759" w:type="pct"/>
            <w:vAlign w:val="center"/>
          </w:tcPr>
          <w:p w14:paraId="79B036CC" w14:textId="77777777" w:rsidR="00A80D9F" w:rsidRPr="00A80D9F" w:rsidRDefault="00A80D9F" w:rsidP="00A80D9F">
            <w:pPr>
              <w:spacing w:before="0" w:after="160" w:line="256" w:lineRule="auto"/>
              <w:jc w:val="center"/>
              <w:rPr>
                <w:rFonts w:asciiTheme="minorHAnsi" w:eastAsiaTheme="minorHAnsi" w:hAnsiTheme="minorHAnsi" w:cstheme="minorBidi"/>
                <w:i/>
                <w:sz w:val="24"/>
                <w:szCs w:val="20"/>
              </w:rPr>
            </w:pPr>
            <w:r w:rsidRPr="00A80D9F">
              <w:rPr>
                <w:rFonts w:asciiTheme="minorHAnsi" w:eastAsiaTheme="minorHAnsi" w:hAnsiTheme="minorHAnsi" w:cstheme="minorBidi"/>
                <w:i/>
                <w:sz w:val="24"/>
                <w:szCs w:val="20"/>
              </w:rPr>
              <w:t>Evaluare aprofundată/ de fond</w:t>
            </w:r>
          </w:p>
        </w:tc>
        <w:tc>
          <w:tcPr>
            <w:tcW w:w="2501" w:type="pct"/>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78333567" w14:textId="77777777" w:rsidR="00A80D9F" w:rsidRPr="00A80D9F" w:rsidRDefault="00A80D9F" w:rsidP="00A80D9F">
            <w:pPr>
              <w:spacing w:before="0" w:after="160" w:line="256" w:lineRule="auto"/>
              <w:jc w:val="center"/>
              <w:rPr>
                <w:rFonts w:asciiTheme="minorHAnsi" w:eastAsiaTheme="minorHAnsi" w:hAnsiTheme="minorHAnsi" w:cstheme="minorBidi"/>
                <w:i/>
                <w:sz w:val="24"/>
                <w:szCs w:val="20"/>
              </w:rPr>
            </w:pPr>
            <w:r w:rsidRPr="00A80D9F">
              <w:rPr>
                <w:rFonts w:asciiTheme="minorHAnsi" w:eastAsiaTheme="minorHAnsi" w:hAnsiTheme="minorHAnsi" w:cstheme="minorBidi"/>
                <w:i/>
                <w:sz w:val="24"/>
                <w:szCs w:val="20"/>
              </w:rPr>
              <w:t>Justificarea respectării principiului DNSH</w:t>
            </w:r>
          </w:p>
          <w:p w14:paraId="5F94B603" w14:textId="77777777" w:rsidR="00A80D9F" w:rsidRPr="00A80D9F" w:rsidRDefault="00A80D9F" w:rsidP="00A80D9F">
            <w:pPr>
              <w:spacing w:before="0" w:after="160" w:line="256" w:lineRule="auto"/>
              <w:jc w:val="center"/>
              <w:rPr>
                <w:rFonts w:asciiTheme="minorHAnsi" w:eastAsiaTheme="minorHAnsi" w:hAnsiTheme="minorHAnsi" w:cstheme="minorBidi"/>
                <w:i/>
                <w:sz w:val="24"/>
                <w:szCs w:val="20"/>
              </w:rPr>
            </w:pPr>
            <w:r w:rsidRPr="00A80D9F">
              <w:rPr>
                <w:rFonts w:asciiTheme="minorHAnsi" w:eastAsiaTheme="minorHAnsi" w:hAnsiTheme="minorHAnsi" w:cstheme="minorBidi"/>
                <w:i/>
                <w:sz w:val="24"/>
                <w:szCs w:val="20"/>
              </w:rPr>
              <w:t>pentru obiectivul de mediu relevant</w:t>
            </w:r>
          </w:p>
        </w:tc>
      </w:tr>
      <w:tr w:rsidR="00A80D9F" w:rsidRPr="00A80D9F" w14:paraId="71A11E10" w14:textId="77777777" w:rsidTr="00E265FE">
        <w:trPr>
          <w:trHeight w:val="785"/>
        </w:trPr>
        <w:tc>
          <w:tcPr>
            <w:tcW w:w="180" w:type="pct"/>
            <w:tcBorders>
              <w:left w:val="single" w:sz="8" w:space="0" w:color="000000"/>
              <w:right w:val="single" w:sz="8" w:space="0" w:color="000000"/>
            </w:tcBorders>
            <w:shd w:val="clear" w:color="auto" w:fill="CCCCCC"/>
            <w:vAlign w:val="center"/>
          </w:tcPr>
          <w:p w14:paraId="0D6A44B7" w14:textId="77777777" w:rsidR="00A80D9F" w:rsidRPr="00A80D9F" w:rsidRDefault="00A80D9F" w:rsidP="00A80D9F">
            <w:pPr>
              <w:spacing w:before="0" w:after="160" w:line="256" w:lineRule="auto"/>
              <w:jc w:val="center"/>
              <w:rPr>
                <w:rFonts w:asciiTheme="minorHAnsi" w:eastAsiaTheme="minorHAnsi" w:hAnsiTheme="minorHAnsi" w:cstheme="minorBidi"/>
                <w:sz w:val="24"/>
                <w:szCs w:val="20"/>
              </w:rPr>
            </w:pPr>
            <w:r w:rsidRPr="00A80D9F">
              <w:rPr>
                <w:rFonts w:asciiTheme="minorHAnsi" w:eastAsiaTheme="minorHAnsi" w:hAnsiTheme="minorHAnsi" w:cstheme="minorBidi"/>
                <w:sz w:val="24"/>
                <w:szCs w:val="20"/>
              </w:rPr>
              <w:t>1</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40DADF32" w14:textId="77777777" w:rsidR="00A80D9F" w:rsidRPr="00A80D9F" w:rsidRDefault="00A80D9F" w:rsidP="00A80D9F">
            <w:pPr>
              <w:spacing w:before="0" w:after="160" w:line="256" w:lineRule="auto"/>
              <w:jc w:val="center"/>
              <w:rPr>
                <w:rFonts w:asciiTheme="minorHAnsi" w:eastAsiaTheme="minorHAnsi" w:hAnsiTheme="minorHAnsi" w:cstheme="minorBidi"/>
                <w:sz w:val="24"/>
                <w:szCs w:val="20"/>
              </w:rPr>
            </w:pPr>
            <w:r w:rsidRPr="00A80D9F">
              <w:rPr>
                <w:rFonts w:asciiTheme="minorHAnsi" w:eastAsiaTheme="minorHAnsi" w:hAnsiTheme="minorHAnsi" w:cstheme="minorBidi"/>
                <w:sz w:val="24"/>
                <w:szCs w:val="20"/>
              </w:rPr>
              <w:t>Atenuarea schimbărilor climatice</w:t>
            </w:r>
          </w:p>
        </w:tc>
        <w:tc>
          <w:tcPr>
            <w:tcW w:w="739" w:type="pct"/>
            <w:tcBorders>
              <w:bottom w:val="single" w:sz="8" w:space="0" w:color="000000"/>
            </w:tcBorders>
            <w:vAlign w:val="center"/>
          </w:tcPr>
          <w:p w14:paraId="27B15C47" w14:textId="77777777" w:rsidR="00A80D9F" w:rsidRPr="00A80D9F" w:rsidRDefault="00A80D9F" w:rsidP="00A80D9F">
            <w:pPr>
              <w:spacing w:before="0" w:after="240" w:line="256" w:lineRule="auto"/>
              <w:jc w:val="center"/>
              <w:rPr>
                <w:rFonts w:asciiTheme="minorHAnsi" w:eastAsiaTheme="minorHAnsi" w:hAnsiTheme="minorHAnsi" w:cstheme="minorBidi"/>
                <w:b/>
                <w:sz w:val="24"/>
                <w:szCs w:val="20"/>
              </w:rPr>
            </w:pPr>
            <w:r w:rsidRPr="00A80D9F">
              <w:rPr>
                <w:rFonts w:asciiTheme="minorHAnsi" w:eastAsiaTheme="minorHAnsi" w:hAnsiTheme="minorHAnsi" w:cstheme="minorBidi"/>
                <w:b/>
                <w:sz w:val="24"/>
                <w:szCs w:val="20"/>
              </w:rPr>
              <w:t>X</w:t>
            </w:r>
          </w:p>
        </w:tc>
        <w:tc>
          <w:tcPr>
            <w:tcW w:w="759" w:type="pct"/>
            <w:tcBorders>
              <w:bottom w:val="single" w:sz="8" w:space="0" w:color="000000"/>
            </w:tcBorders>
            <w:vAlign w:val="center"/>
          </w:tcPr>
          <w:p w14:paraId="5A2DE4D6" w14:textId="77777777" w:rsidR="00A80D9F" w:rsidRPr="00A80D9F" w:rsidRDefault="00A80D9F" w:rsidP="00A80D9F">
            <w:pPr>
              <w:spacing w:before="0" w:after="240" w:line="256" w:lineRule="auto"/>
              <w:jc w:val="center"/>
              <w:rPr>
                <w:rFonts w:asciiTheme="minorHAnsi" w:eastAsiaTheme="minorHAnsi" w:hAnsiTheme="minorHAnsi" w:cstheme="minorBidi"/>
                <w:sz w:val="24"/>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2DB0C5CD"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Prin respectarea regulilor obligatorii de împădurire / reîmpădurire care vor fi prevăzute în Strategia Națională Forestieră 2020-2030 și în normele tehnice modificate în acord cu această strategie, investițiile propuse vor contribui substanțial la atenuarea și la adaptarea la schimbările climatice. De asemenea, măsura vizează și reîmpădurirea suprafețelor din fondul forestier în care nu s-a realizat regenerarea de către proprietari și administrator. Astfel, se vor reface pădurile afectate de incendii forestiere, de fenomene meteorologice nefavorabile, de boli și dăunători și tăieri ilegale. </w:t>
            </w:r>
          </w:p>
        </w:tc>
      </w:tr>
      <w:tr w:rsidR="00A80D9F" w:rsidRPr="00A80D9F" w14:paraId="22CEDCAB" w14:textId="77777777" w:rsidTr="00894993">
        <w:trPr>
          <w:trHeight w:val="695"/>
        </w:trPr>
        <w:tc>
          <w:tcPr>
            <w:tcW w:w="180" w:type="pct"/>
            <w:tcBorders>
              <w:left w:val="single" w:sz="8" w:space="0" w:color="000000"/>
              <w:right w:val="single" w:sz="8" w:space="0" w:color="000000"/>
            </w:tcBorders>
            <w:shd w:val="clear" w:color="auto" w:fill="CCCCCC"/>
            <w:vAlign w:val="center"/>
          </w:tcPr>
          <w:p w14:paraId="4D0B4EC9" w14:textId="77777777" w:rsidR="00A80D9F" w:rsidRPr="00A80D9F" w:rsidRDefault="00A80D9F" w:rsidP="00A80D9F">
            <w:pPr>
              <w:spacing w:before="0" w:after="160" w:line="256" w:lineRule="auto"/>
              <w:jc w:val="center"/>
              <w:rPr>
                <w:rFonts w:asciiTheme="minorHAnsi" w:eastAsiaTheme="minorHAnsi" w:hAnsiTheme="minorHAnsi" w:cstheme="minorBidi"/>
                <w:sz w:val="24"/>
                <w:szCs w:val="20"/>
              </w:rPr>
            </w:pPr>
            <w:r w:rsidRPr="00A80D9F">
              <w:rPr>
                <w:rFonts w:asciiTheme="minorHAnsi" w:eastAsiaTheme="minorHAnsi" w:hAnsiTheme="minorHAnsi" w:cstheme="minorBidi"/>
                <w:sz w:val="24"/>
                <w:szCs w:val="20"/>
              </w:rPr>
              <w:lastRenderedPageBreak/>
              <w:t>2</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45DA6257" w14:textId="77777777" w:rsidR="00A80D9F" w:rsidRPr="00A80D9F" w:rsidRDefault="00A80D9F" w:rsidP="00A80D9F">
            <w:pPr>
              <w:spacing w:before="0" w:after="160" w:line="256" w:lineRule="auto"/>
              <w:jc w:val="center"/>
              <w:rPr>
                <w:rFonts w:asciiTheme="minorHAnsi" w:eastAsiaTheme="minorHAnsi" w:hAnsiTheme="minorHAnsi" w:cstheme="minorBidi"/>
                <w:sz w:val="24"/>
                <w:szCs w:val="20"/>
              </w:rPr>
            </w:pPr>
            <w:r w:rsidRPr="00A80D9F">
              <w:rPr>
                <w:rFonts w:asciiTheme="minorHAnsi" w:eastAsiaTheme="minorHAnsi" w:hAnsiTheme="minorHAnsi" w:cstheme="minorBidi"/>
                <w:sz w:val="24"/>
                <w:szCs w:val="20"/>
              </w:rPr>
              <w:t>Adaptarea la schimbările climatice</w:t>
            </w:r>
          </w:p>
        </w:tc>
        <w:tc>
          <w:tcPr>
            <w:tcW w:w="739" w:type="pct"/>
            <w:tcBorders>
              <w:bottom w:val="single" w:sz="8" w:space="0" w:color="000000"/>
            </w:tcBorders>
            <w:vAlign w:val="center"/>
          </w:tcPr>
          <w:p w14:paraId="65FB7DF8" w14:textId="77777777" w:rsidR="00A80D9F" w:rsidRPr="00A80D9F" w:rsidRDefault="00A80D9F" w:rsidP="00A80D9F">
            <w:pPr>
              <w:spacing w:before="0" w:after="240" w:line="256" w:lineRule="auto"/>
              <w:jc w:val="center"/>
              <w:rPr>
                <w:rFonts w:asciiTheme="minorHAnsi" w:eastAsiaTheme="minorHAnsi" w:hAnsiTheme="minorHAnsi" w:cstheme="minorBidi"/>
                <w:sz w:val="24"/>
                <w:szCs w:val="20"/>
              </w:rPr>
            </w:pPr>
            <w:r w:rsidRPr="00A80D9F">
              <w:rPr>
                <w:rFonts w:asciiTheme="minorHAnsi" w:eastAsiaTheme="minorHAnsi" w:hAnsiTheme="minorHAnsi" w:cstheme="minorBidi"/>
                <w:b/>
                <w:sz w:val="24"/>
                <w:szCs w:val="20"/>
              </w:rPr>
              <w:t>X</w:t>
            </w:r>
          </w:p>
        </w:tc>
        <w:tc>
          <w:tcPr>
            <w:tcW w:w="759" w:type="pct"/>
            <w:tcBorders>
              <w:bottom w:val="single" w:sz="8" w:space="0" w:color="000000"/>
            </w:tcBorders>
            <w:vAlign w:val="center"/>
          </w:tcPr>
          <w:p w14:paraId="7C1C6F2D" w14:textId="77777777" w:rsidR="00A80D9F" w:rsidRPr="00A80D9F" w:rsidRDefault="00A80D9F" w:rsidP="00A80D9F">
            <w:pPr>
              <w:spacing w:before="0" w:after="240" w:line="256" w:lineRule="auto"/>
              <w:jc w:val="center"/>
              <w:rPr>
                <w:rFonts w:asciiTheme="minorHAnsi" w:eastAsiaTheme="minorHAnsi" w:hAnsiTheme="minorHAnsi" w:cstheme="minorBidi"/>
                <w:sz w:val="24"/>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69E21A9D"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Prin respectarea regulilor obligatorii de împădurire / reîmpădurire care vor fi prevăzute în Strategia Națională Forestieră 2020-2030 și în normele tehnice modificate în acord cu această strategie, investițiile propuse sprijină (100%) adaptarea la schimbările climatice: </w:t>
            </w:r>
          </w:p>
          <w:p w14:paraId="2223F040"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Investiția va fi implementată cu respectarea regulilor obligatorii pentru împădurire / reîmpădurire stabilite prin Strategia Națională Forestieră 2020 – 2030 precum și cu respectarea normelor tehnice amendate în conformitate cu aceasta, respectiv: </w:t>
            </w:r>
          </w:p>
          <w:p w14:paraId="57C47A5A"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a.Reguli specifice pentru ca acțiunile de plantare a copacilor să fie reziliente climatic și fără impact negativ asupra biodiversității și de interzicere a utilizării sau răspândirii speciilor invazive non-native. Utilizarea speciilor non-native va fi permisă doar în condițiile în care se demonstrează faptul că utilizarea materialului reproducător conduce la condiții ecosistemice favorabile și adecvate (cum ar fi cele climatice, de sol, zone de vegetație, reziliență la foc) și că speciile native prezente nu mai sunt adaptate la condițiile climatice viitoare modelate și la condițiile pedo-hidrologice; </w:t>
            </w:r>
          </w:p>
          <w:p w14:paraId="2796A3E4"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b.Reguli specifice pentru ca împăduririle să contribuie pozitiv la obiectivele de conservarea a biodiversității, managementul apei și protecția solului prin interzicerea împăduririlor / reîmpăduririlor pe terenurile agricole cu o valoare naturală ridicată, pajiști sau în zone umede cu excepția refacerii de habitate; </w:t>
            </w:r>
          </w:p>
          <w:p w14:paraId="591A2975"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c.Reguli specifice pentru ca măsurile de prevenire care cresc capacitatea naturală de absorbție a solului să fie incluse în activitățile de management silvic și în legislația specifică cu cerința de adaptare ca managementul silvic să se bazeze pe monitorizarea speciilor; </w:t>
            </w:r>
          </w:p>
          <w:p w14:paraId="5BB56038"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d.Reguli specifice pentru ca împăduririle urbane să fie realizate printr-o abordare de tipul landscape level approach care să contribuie la consolidarea conectivității cu zone naturale sau semi-naturale (păduri, zone agricole) cu accent pe conectarea habitatelor în corelare cu infrastructuri verzi și coridoare ecologice; </w:t>
            </w:r>
          </w:p>
          <w:p w14:paraId="583921B4"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e.Cerințe specifice ca proiectele de împădurire / reîmpădurire să fie realizate în zonele expuse / vulnerabile la riscuri climatice, în special seceta și inundațiile; </w:t>
            </w:r>
          </w:p>
        </w:tc>
      </w:tr>
      <w:tr w:rsidR="00A80D9F" w:rsidRPr="00A80D9F" w14:paraId="7621608E" w14:textId="77777777" w:rsidTr="00894993">
        <w:trPr>
          <w:trHeight w:val="4106"/>
        </w:trPr>
        <w:tc>
          <w:tcPr>
            <w:tcW w:w="180" w:type="pct"/>
            <w:tcBorders>
              <w:left w:val="single" w:sz="8" w:space="0" w:color="000000"/>
              <w:bottom w:val="single" w:sz="8" w:space="0" w:color="000000"/>
              <w:right w:val="single" w:sz="8" w:space="0" w:color="000000"/>
            </w:tcBorders>
            <w:shd w:val="clear" w:color="auto" w:fill="CCCCCC"/>
            <w:vAlign w:val="center"/>
          </w:tcPr>
          <w:p w14:paraId="74F463A2" w14:textId="77777777" w:rsidR="00A80D9F" w:rsidRPr="00A80D9F" w:rsidRDefault="00A80D9F" w:rsidP="00A80D9F">
            <w:pPr>
              <w:spacing w:before="0" w:after="160" w:line="256" w:lineRule="auto"/>
              <w:jc w:val="center"/>
              <w:rPr>
                <w:rFonts w:asciiTheme="minorHAnsi" w:eastAsiaTheme="minorHAnsi" w:hAnsiTheme="minorHAnsi" w:cstheme="minorBidi"/>
                <w:sz w:val="24"/>
                <w:szCs w:val="20"/>
              </w:rPr>
            </w:pPr>
            <w:r w:rsidRPr="00A80D9F">
              <w:rPr>
                <w:rFonts w:asciiTheme="minorHAnsi" w:eastAsiaTheme="minorHAnsi" w:hAnsiTheme="minorHAnsi" w:cstheme="minorBidi"/>
                <w:sz w:val="24"/>
                <w:szCs w:val="20"/>
              </w:rPr>
              <w:lastRenderedPageBreak/>
              <w:t>3</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5E9F440C" w14:textId="77777777" w:rsidR="00A80D9F" w:rsidRPr="00A80D9F" w:rsidRDefault="00A80D9F" w:rsidP="00A80D9F">
            <w:pPr>
              <w:spacing w:before="0" w:after="160" w:line="256" w:lineRule="auto"/>
              <w:jc w:val="center"/>
              <w:rPr>
                <w:rFonts w:asciiTheme="minorHAnsi" w:eastAsiaTheme="minorHAnsi" w:hAnsiTheme="minorHAnsi" w:cstheme="minorBidi"/>
                <w:sz w:val="24"/>
                <w:szCs w:val="20"/>
              </w:rPr>
            </w:pPr>
            <w:r w:rsidRPr="00A80D9F">
              <w:rPr>
                <w:rFonts w:asciiTheme="minorHAnsi" w:eastAsiaTheme="minorHAnsi" w:hAnsiTheme="minorHAnsi" w:cstheme="minorBidi"/>
                <w:sz w:val="24"/>
                <w:szCs w:val="20"/>
              </w:rPr>
              <w:t>Utilizarea durabila si protecția resurselor de apa si a celor marine</w:t>
            </w:r>
          </w:p>
        </w:tc>
        <w:tc>
          <w:tcPr>
            <w:tcW w:w="739" w:type="pct"/>
            <w:tcBorders>
              <w:bottom w:val="single" w:sz="8" w:space="0" w:color="000000"/>
            </w:tcBorders>
            <w:vAlign w:val="center"/>
          </w:tcPr>
          <w:p w14:paraId="1F02667D" w14:textId="77777777" w:rsidR="00A80D9F" w:rsidRPr="00A80D9F" w:rsidRDefault="00A80D9F" w:rsidP="00A80D9F">
            <w:pPr>
              <w:spacing w:before="0" w:after="160" w:line="256" w:lineRule="auto"/>
              <w:jc w:val="center"/>
              <w:rPr>
                <w:rFonts w:asciiTheme="minorHAnsi" w:eastAsiaTheme="minorHAnsi" w:hAnsiTheme="minorHAnsi" w:cstheme="minorBidi"/>
                <w:b/>
                <w:sz w:val="24"/>
                <w:szCs w:val="20"/>
              </w:rPr>
            </w:pPr>
            <w:r w:rsidRPr="00A80D9F">
              <w:rPr>
                <w:rFonts w:asciiTheme="minorHAnsi" w:eastAsiaTheme="minorHAnsi" w:hAnsiTheme="minorHAnsi" w:cstheme="minorBidi"/>
                <w:b/>
                <w:sz w:val="24"/>
                <w:szCs w:val="20"/>
              </w:rPr>
              <w:t>X</w:t>
            </w:r>
          </w:p>
        </w:tc>
        <w:tc>
          <w:tcPr>
            <w:tcW w:w="759" w:type="pct"/>
            <w:tcBorders>
              <w:bottom w:val="single" w:sz="8" w:space="0" w:color="000000"/>
            </w:tcBorders>
            <w:vAlign w:val="center"/>
          </w:tcPr>
          <w:p w14:paraId="3A2292FE" w14:textId="77777777" w:rsidR="00A80D9F" w:rsidRPr="00A80D9F" w:rsidRDefault="00A80D9F" w:rsidP="00A80D9F">
            <w:pPr>
              <w:spacing w:before="0" w:after="160" w:line="256" w:lineRule="auto"/>
              <w:jc w:val="center"/>
              <w:rPr>
                <w:rFonts w:asciiTheme="minorHAnsi" w:eastAsiaTheme="minorHAnsi" w:hAnsiTheme="minorHAnsi" w:cstheme="minorBidi"/>
                <w:sz w:val="24"/>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5B6DDBFC"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Investițiile aferente acestei reforme (campanii de împădurire / reîmpădurire pe mari suprafețe) vor avea un impact pozitiv asupra obiectivului de protejare a resurselor de apă. De asemenea, investițiile propuse se vor implementa cu respectarea următoarelor reguli specifice obligatorii care vor fi prevăzute în Strategia Națională Forestieră 2020-2030: </w:t>
            </w:r>
          </w:p>
          <w:p w14:paraId="209D37DA"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 Reguli specifice pentru ca împăduririle să contribuie pozitiv la obiectivele de conservarea a biodiversității, managementul apei și protecția solului prin interzicerea împăduririlor / reîmpăduririlor pe terenurile agricole cu o valoare naturală ridicată, pajiști sau în zone umede cu excepția refacerii de habitate; </w:t>
            </w:r>
          </w:p>
          <w:p w14:paraId="4A746FD9"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 Reguli specifice pentru ca măsurile de prevenire care cresc capacitatea naturală de absorbție a solului să fie incluse în activitățile de management silvic și în legislația specifică cu cerința de adaptare ca managementul silvic să se bazeze pe monitorizarea speciilor; </w:t>
            </w:r>
          </w:p>
          <w:p w14:paraId="6FF3C6E0" w14:textId="77777777" w:rsidR="00A80D9F" w:rsidRPr="00A80D9F" w:rsidRDefault="00A80D9F" w:rsidP="00A80D9F">
            <w:pPr>
              <w:spacing w:before="0" w:after="160" w:line="256" w:lineRule="auto"/>
              <w:jc w:val="both"/>
              <w:rPr>
                <w:rFonts w:asciiTheme="minorHAnsi" w:eastAsiaTheme="minorHAnsi" w:hAnsiTheme="minorHAnsi" w:cstheme="minorBidi"/>
                <w:sz w:val="24"/>
                <w:szCs w:val="20"/>
              </w:rPr>
            </w:pPr>
            <w:r w:rsidRPr="00894993">
              <w:rPr>
                <w:szCs w:val="20"/>
              </w:rPr>
              <w:t>- Reguli specifice ca proiectele de împădurire / reîmpădurire să fie realizate în zonele expuse / vulnerabile la riscuri climatice, în special seceta și inundațiile.</w:t>
            </w:r>
            <w:r w:rsidRPr="00A80D9F">
              <w:rPr>
                <w:rFonts w:asciiTheme="minorHAnsi" w:eastAsiaTheme="minorHAnsi" w:hAnsiTheme="minorHAnsi" w:cstheme="minorBidi"/>
                <w:szCs w:val="20"/>
              </w:rPr>
              <w:t xml:space="preserve"> </w:t>
            </w:r>
          </w:p>
        </w:tc>
      </w:tr>
      <w:tr w:rsidR="00A80D9F" w:rsidRPr="00A80D9F" w14:paraId="066800EA" w14:textId="77777777" w:rsidTr="00E265FE">
        <w:trPr>
          <w:trHeight w:val="18"/>
        </w:trPr>
        <w:tc>
          <w:tcPr>
            <w:tcW w:w="180" w:type="pct"/>
            <w:tcBorders>
              <w:left w:val="single" w:sz="8" w:space="0" w:color="000000"/>
              <w:bottom w:val="single" w:sz="8" w:space="0" w:color="000000"/>
              <w:right w:val="single" w:sz="8" w:space="0" w:color="000000"/>
            </w:tcBorders>
            <w:shd w:val="clear" w:color="auto" w:fill="CCCCCC"/>
            <w:vAlign w:val="center"/>
          </w:tcPr>
          <w:p w14:paraId="7982180D" w14:textId="77777777" w:rsidR="00A80D9F" w:rsidRPr="00A80D9F" w:rsidRDefault="00A80D9F" w:rsidP="00A80D9F">
            <w:pPr>
              <w:spacing w:before="0" w:after="160" w:line="256" w:lineRule="auto"/>
              <w:jc w:val="center"/>
              <w:rPr>
                <w:rFonts w:asciiTheme="minorHAnsi" w:eastAsiaTheme="minorHAnsi" w:hAnsiTheme="minorHAnsi" w:cstheme="minorBidi"/>
                <w:sz w:val="24"/>
                <w:szCs w:val="20"/>
              </w:rPr>
            </w:pPr>
            <w:r w:rsidRPr="00A80D9F">
              <w:rPr>
                <w:rFonts w:asciiTheme="minorHAnsi" w:eastAsiaTheme="minorHAnsi" w:hAnsiTheme="minorHAnsi" w:cstheme="minorBidi"/>
                <w:sz w:val="24"/>
                <w:szCs w:val="20"/>
              </w:rPr>
              <w:t>4</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0EE19D4B" w14:textId="77777777" w:rsidR="00A80D9F" w:rsidRPr="00A80D9F" w:rsidRDefault="00A80D9F" w:rsidP="00A80D9F">
            <w:pPr>
              <w:spacing w:before="0" w:after="160" w:line="256" w:lineRule="auto"/>
              <w:jc w:val="center"/>
              <w:rPr>
                <w:rFonts w:asciiTheme="minorHAnsi" w:eastAsiaTheme="minorHAnsi" w:hAnsiTheme="minorHAnsi" w:cstheme="minorBidi"/>
                <w:sz w:val="24"/>
                <w:szCs w:val="20"/>
              </w:rPr>
            </w:pPr>
            <w:r w:rsidRPr="00A80D9F">
              <w:rPr>
                <w:rFonts w:asciiTheme="minorHAnsi" w:eastAsiaTheme="minorHAnsi" w:hAnsiTheme="minorHAnsi" w:cstheme="minorBidi"/>
                <w:sz w:val="24"/>
                <w:szCs w:val="20"/>
              </w:rPr>
              <w:t>Economia circulară, inclusiv prevenirea generării de deșeuri și reciclarea acestora</w:t>
            </w:r>
          </w:p>
        </w:tc>
        <w:tc>
          <w:tcPr>
            <w:tcW w:w="739" w:type="pct"/>
            <w:tcBorders>
              <w:bottom w:val="single" w:sz="8" w:space="0" w:color="000000"/>
            </w:tcBorders>
            <w:vAlign w:val="center"/>
          </w:tcPr>
          <w:p w14:paraId="005BEF63" w14:textId="77777777" w:rsidR="00A80D9F" w:rsidRPr="00A80D9F" w:rsidRDefault="00A80D9F" w:rsidP="00A80D9F">
            <w:pPr>
              <w:spacing w:before="0" w:after="160" w:line="256" w:lineRule="auto"/>
              <w:jc w:val="center"/>
              <w:rPr>
                <w:rFonts w:asciiTheme="minorHAnsi" w:eastAsiaTheme="minorHAnsi" w:hAnsiTheme="minorHAnsi" w:cstheme="minorBidi"/>
                <w:sz w:val="24"/>
                <w:szCs w:val="20"/>
              </w:rPr>
            </w:pPr>
            <w:r w:rsidRPr="00A80D9F">
              <w:rPr>
                <w:rFonts w:asciiTheme="minorHAnsi" w:eastAsiaTheme="minorHAnsi" w:hAnsiTheme="minorHAnsi" w:cstheme="minorBidi"/>
                <w:b/>
                <w:sz w:val="24"/>
                <w:szCs w:val="20"/>
              </w:rPr>
              <w:t>X</w:t>
            </w:r>
          </w:p>
        </w:tc>
        <w:tc>
          <w:tcPr>
            <w:tcW w:w="759" w:type="pct"/>
            <w:tcBorders>
              <w:bottom w:val="single" w:sz="8" w:space="0" w:color="000000"/>
            </w:tcBorders>
            <w:vAlign w:val="center"/>
          </w:tcPr>
          <w:p w14:paraId="61FB51B9" w14:textId="77777777" w:rsidR="00A80D9F" w:rsidRPr="00A80D9F" w:rsidRDefault="00A80D9F" w:rsidP="00A80D9F">
            <w:pPr>
              <w:spacing w:before="0" w:after="160" w:line="256" w:lineRule="auto"/>
              <w:jc w:val="center"/>
              <w:rPr>
                <w:rFonts w:asciiTheme="minorHAnsi" w:eastAsiaTheme="minorHAnsi" w:hAnsiTheme="minorHAnsi" w:cstheme="minorBidi"/>
                <w:sz w:val="24"/>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017B1F39"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Investițiile nu vor afecta obiectivul de economie circulară, inclusiv prevenirea și reciclarea deșeurilor întrucât investițiile aferente (campaniile de împădurire / reîmpădurire) vor fi realizate cu respectarea următoarelor cerințe: </w:t>
            </w:r>
          </w:p>
          <w:p w14:paraId="6B69769E"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 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w:t>
            </w:r>
          </w:p>
          <w:p w14:paraId="47F86BFB" w14:textId="77777777" w:rsidR="00A80D9F" w:rsidRPr="00A80D9F" w:rsidRDefault="00A80D9F" w:rsidP="00A80D9F">
            <w:pPr>
              <w:autoSpaceDE w:val="0"/>
              <w:autoSpaceDN w:val="0"/>
              <w:adjustRightInd w:val="0"/>
              <w:spacing w:before="0" w:after="0"/>
              <w:jc w:val="both"/>
              <w:rPr>
                <w:szCs w:val="20"/>
              </w:rPr>
            </w:pPr>
          </w:p>
          <w:p w14:paraId="205366CF"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Directivei 2008/98/EC privind deşeurile şi de abrogare a anumitor directive, cu modificările ulterioare şi aprobat prin Hotărârea Guvernului nr. 942/2017). </w:t>
            </w:r>
          </w:p>
          <w:p w14:paraId="3A9BD8E2"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 În toate etapele proiectului se va menţine evidenţa gestiunii deşeurilor conform Legii nr. 211/2011 privind regimul deşeurilor, cu modificările şi completările ulterioare, HG nr. 856/2002 privind evidența gestiunii 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 </w:t>
            </w:r>
          </w:p>
          <w:p w14:paraId="07DC2D19" w14:textId="77777777" w:rsidR="00A80D9F" w:rsidRPr="00A80D9F" w:rsidRDefault="00A80D9F" w:rsidP="00A80D9F">
            <w:pPr>
              <w:autoSpaceDE w:val="0"/>
              <w:autoSpaceDN w:val="0"/>
              <w:adjustRightInd w:val="0"/>
              <w:spacing w:before="0" w:after="0"/>
              <w:jc w:val="both"/>
              <w:rPr>
                <w:szCs w:val="20"/>
              </w:rPr>
            </w:pPr>
            <w:r w:rsidRPr="00A80D9F">
              <w:rPr>
                <w:szCs w:val="20"/>
              </w:rPr>
              <w:lastRenderedPageBreak/>
              <w:t xml:space="preserve"> În conformitate cu prevederile Deciziei nr. 2000/532/CE a Comisiei, preluată în legislaţia naţională prin HG nr. 856/2002, cu modificările și completările ulterioare, lucrările nu presupun utilizarea unor categorii de materiale care să poată fi încadrate în categoria substanțelor toxice și periculoase. </w:t>
            </w:r>
          </w:p>
          <w:p w14:paraId="24BAC724"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 În ceea ce priveşte deşeurile recuperabile rezultate pe perioada executării lucrărilor, constructorul 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cu Protocolul UE de gestionare a deșeurilor din construcții și demolări. </w:t>
            </w:r>
          </w:p>
          <w:p w14:paraId="2C766641" w14:textId="77777777" w:rsidR="00A80D9F" w:rsidRPr="00A80D9F" w:rsidRDefault="00A80D9F" w:rsidP="00A80D9F">
            <w:pPr>
              <w:autoSpaceDE w:val="0"/>
              <w:autoSpaceDN w:val="0"/>
              <w:adjustRightInd w:val="0"/>
              <w:spacing w:before="0" w:after="0"/>
              <w:jc w:val="both"/>
              <w:rPr>
                <w:szCs w:val="20"/>
              </w:rPr>
            </w:pPr>
          </w:p>
          <w:p w14:paraId="553D8B9A"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Astfel, în conformitate cu reglementările în vigoare, deşeurile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 </w:t>
            </w:r>
          </w:p>
          <w:p w14:paraId="3521716E"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În toate etapele proiectului se va menţine evidenţa gestiunii deşeurilor conform Legii nr. 211/2011 privind regimul deşeurilor, cu modificările şi completările ulterioare, HG nr. 856/2002 şi respectiv Legea nr. 249/2015 privind modalitatea de gestionare a ambalajelor şi a deşeurilor de ambalaje, cu modificările şi completările ulterioare. </w:t>
            </w:r>
          </w:p>
          <w:p w14:paraId="5F0964AC"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 </w:t>
            </w:r>
          </w:p>
        </w:tc>
      </w:tr>
      <w:tr w:rsidR="00A80D9F" w:rsidRPr="00A80D9F" w14:paraId="140C737D" w14:textId="77777777" w:rsidTr="00894993">
        <w:trPr>
          <w:trHeight w:val="5735"/>
        </w:trPr>
        <w:tc>
          <w:tcPr>
            <w:tcW w:w="180" w:type="pct"/>
            <w:tcBorders>
              <w:left w:val="single" w:sz="8" w:space="0" w:color="000000"/>
              <w:bottom w:val="single" w:sz="8" w:space="0" w:color="000000"/>
              <w:right w:val="single" w:sz="8" w:space="0" w:color="000000"/>
            </w:tcBorders>
            <w:shd w:val="clear" w:color="auto" w:fill="CCCCCC"/>
            <w:vAlign w:val="center"/>
          </w:tcPr>
          <w:p w14:paraId="5EF7D019" w14:textId="77777777" w:rsidR="00A80D9F" w:rsidRPr="00A80D9F" w:rsidRDefault="00A80D9F" w:rsidP="00A80D9F">
            <w:pPr>
              <w:spacing w:before="0" w:after="160" w:line="256" w:lineRule="auto"/>
              <w:jc w:val="center"/>
              <w:rPr>
                <w:rFonts w:asciiTheme="minorHAnsi" w:eastAsiaTheme="minorHAnsi" w:hAnsiTheme="minorHAnsi" w:cstheme="minorBidi"/>
                <w:sz w:val="24"/>
                <w:szCs w:val="20"/>
              </w:rPr>
            </w:pPr>
            <w:r w:rsidRPr="00A80D9F">
              <w:rPr>
                <w:rFonts w:asciiTheme="minorHAnsi" w:eastAsiaTheme="minorHAnsi" w:hAnsiTheme="minorHAnsi" w:cstheme="minorBidi"/>
                <w:sz w:val="24"/>
                <w:szCs w:val="20"/>
              </w:rPr>
              <w:lastRenderedPageBreak/>
              <w:t>5</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63F726AC" w14:textId="77777777" w:rsidR="00A80D9F" w:rsidRPr="00A80D9F" w:rsidRDefault="00A80D9F" w:rsidP="00A80D9F">
            <w:pPr>
              <w:spacing w:before="0" w:after="160" w:line="256" w:lineRule="auto"/>
              <w:jc w:val="center"/>
              <w:rPr>
                <w:rFonts w:asciiTheme="minorHAnsi" w:eastAsiaTheme="minorHAnsi" w:hAnsiTheme="minorHAnsi" w:cstheme="minorBidi"/>
                <w:sz w:val="24"/>
                <w:szCs w:val="20"/>
              </w:rPr>
            </w:pPr>
            <w:r w:rsidRPr="00A80D9F">
              <w:rPr>
                <w:rFonts w:asciiTheme="minorHAnsi" w:eastAsiaTheme="minorHAnsi" w:hAnsiTheme="minorHAnsi" w:cstheme="minorBidi"/>
                <w:sz w:val="24"/>
                <w:szCs w:val="20"/>
              </w:rPr>
              <w:t>Prevenirea și controlul poluării aerului, apei și solului</w:t>
            </w:r>
          </w:p>
        </w:tc>
        <w:tc>
          <w:tcPr>
            <w:tcW w:w="739" w:type="pct"/>
            <w:tcBorders>
              <w:bottom w:val="single" w:sz="8" w:space="0" w:color="000000"/>
            </w:tcBorders>
            <w:vAlign w:val="center"/>
          </w:tcPr>
          <w:p w14:paraId="1B937B4A" w14:textId="77777777" w:rsidR="00A80D9F" w:rsidRPr="00A80D9F" w:rsidRDefault="00A80D9F" w:rsidP="00A80D9F">
            <w:pPr>
              <w:spacing w:before="0" w:after="160" w:line="256" w:lineRule="auto"/>
              <w:jc w:val="center"/>
              <w:rPr>
                <w:rFonts w:asciiTheme="minorHAnsi" w:eastAsiaTheme="minorHAnsi" w:hAnsiTheme="minorHAnsi" w:cstheme="minorBidi"/>
                <w:sz w:val="24"/>
                <w:szCs w:val="20"/>
              </w:rPr>
            </w:pPr>
            <w:r w:rsidRPr="00A80D9F">
              <w:rPr>
                <w:rFonts w:asciiTheme="minorHAnsi" w:eastAsiaTheme="minorHAnsi" w:hAnsiTheme="minorHAnsi" w:cstheme="minorBidi"/>
                <w:sz w:val="24"/>
                <w:szCs w:val="20"/>
              </w:rPr>
              <w:t>X</w:t>
            </w:r>
          </w:p>
        </w:tc>
        <w:tc>
          <w:tcPr>
            <w:tcW w:w="759" w:type="pct"/>
            <w:tcBorders>
              <w:bottom w:val="single" w:sz="8" w:space="0" w:color="000000"/>
            </w:tcBorders>
            <w:vAlign w:val="center"/>
          </w:tcPr>
          <w:p w14:paraId="03ED8174" w14:textId="77777777" w:rsidR="00A80D9F" w:rsidRPr="00A80D9F" w:rsidRDefault="00A80D9F" w:rsidP="00A80D9F">
            <w:pPr>
              <w:spacing w:before="0" w:after="160" w:line="256" w:lineRule="auto"/>
              <w:jc w:val="center"/>
              <w:rPr>
                <w:rFonts w:asciiTheme="minorHAnsi" w:eastAsiaTheme="minorHAnsi" w:hAnsiTheme="minorHAnsi" w:cstheme="minorBidi"/>
                <w:b/>
                <w:bCs/>
                <w:sz w:val="24"/>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498C0220"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Investițiile de acest tip nu vor afecta obiectivul de prevenire și control al poluării în aer, apă și sol. </w:t>
            </w:r>
          </w:p>
          <w:p w14:paraId="1B3A6E4D"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Investițiile aferente reformei presupun lucări de construcții doar în cazul pepinierelor. Aceste lucări de construcții se vor face cu respectarea condițiilor de protecție a factorilor de mediu (inclusiv apă, aer și sol) potențial afectați stabilite prin actele de mediu emise în conformitate cu Directiva EIA. </w:t>
            </w:r>
          </w:p>
          <w:p w14:paraId="2BA6504C"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Aerul </w:t>
            </w:r>
          </w:p>
          <w:p w14:paraId="266342A9"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În cea mai mare parte, sursele de emisie a poluanţilor atmosferici vor fi surse la sol libere, deschise şi mobile sau staţionare difuze/ dirijate. </w:t>
            </w:r>
          </w:p>
          <w:p w14:paraId="49011912" w14:textId="77777777" w:rsidR="00A80D9F" w:rsidRPr="00894993" w:rsidRDefault="00A80D9F" w:rsidP="00A80D9F">
            <w:pPr>
              <w:spacing w:before="0" w:after="160" w:line="256" w:lineRule="auto"/>
              <w:jc w:val="both"/>
              <w:rPr>
                <w:szCs w:val="20"/>
              </w:rPr>
            </w:pPr>
            <w:r w:rsidRPr="00894993">
              <w:rPr>
                <w:szCs w:val="20"/>
              </w:rPr>
              <w:t xml:space="preserve">Activitatea de realizare a lucrărilor de construcţii include deopotrivă şi surse mobile de emisii, reprezentate de utilajele necesare desfăşurării lucrărilor, de vehiculele care vor asigura transportul materialelor de construcţii, precum şi de aprovizionare cu materiale necesare lucrărilor de construcţie, dar şi de vehiculele necesare evacuării deşeurilor de pe amplasament. Funcţionarea acestora va fi intermitentă, în funcţie de programul de lucru şi de graficul lucrărilor. </w:t>
            </w:r>
          </w:p>
          <w:p w14:paraId="4A2BB2E9"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 </w:t>
            </w:r>
          </w:p>
          <w:p w14:paraId="097B79A7"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Pe cât posibil se vor lua măsuri de atenuare, astfel că lucrările aferente proiectului vor fi realizate cu utilaje mai puţin poluante. </w:t>
            </w:r>
          </w:p>
          <w:p w14:paraId="60F6A973"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Apa </w:t>
            </w:r>
          </w:p>
          <w:p w14:paraId="71CF79F0"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Pe parcursul etapei de execuţie, se vor lua măsurile necesare astfel încât deșeurile rezultate din demontări/demolări, precum și materialele necesare pentru construire, să fie corect depozitate pentru a se evita infiltraţiile în stratul acvifer sau în apele de suprafaţă, urmare a antrenării acestora de către apele pluviale sau de către vânt. </w:t>
            </w:r>
          </w:p>
          <w:p w14:paraId="3F85F23C"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Se va asigura formarea periodică a tuturor lucrătorilor de la fața locului pentru a se asigura evitarea scurgerilor accidentale de substanţe chimice, carburanţi şi uleiuri provenite de la funcţionarea utilajelor implicate în lucrările de construcţie sau datorate manevrării defectuoase a autovehiculelor de transport. </w:t>
            </w:r>
          </w:p>
          <w:p w14:paraId="10AABFFE"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Funcţionarea unor utilaje ce utilizează motoare cu combustie internă în preajma corpurilor de apă conţin un factor de risc inerent în cazul unor accidente, ce pot astfel conduce la contaminarea punctiformă şi temporară a corpurilor de apă de suprafaţă, însă acest risc poate fi adresat </w:t>
            </w:r>
            <w:r w:rsidRPr="00A80D9F">
              <w:rPr>
                <w:szCs w:val="20"/>
              </w:rPr>
              <w:lastRenderedPageBreak/>
              <w:t xml:space="preserve">în cadrul unui plan de management de mediu (PMM), elaborat înainte de începerea etapei de execuţie a proiectului. </w:t>
            </w:r>
          </w:p>
          <w:p w14:paraId="01941EBC"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În etapa de dezafectare a proiectului, potenţialele surse de poluare a apei vor fi similare cu cele din etapa de construcţie, lucrările fiind realizate cu aceleaşi tipuri de utilaje. </w:t>
            </w:r>
          </w:p>
          <w:p w14:paraId="2A6BD343"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Utilizarea substanțelor chimice </w:t>
            </w:r>
          </w:p>
          <w:p w14:paraId="05947754"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De asemenea, în ceea ce privește utilizarea și prezența substanțelor chimice, activitatea nu va utiliza: </w:t>
            </w:r>
          </w:p>
          <w:p w14:paraId="2BB28328"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(a) ca atare, în amestecuri sau în articole, substanțele enumerate în anexa I sau anexa II la Regulamentul (UE) 2019/1021 al Parlamentului European și al Consiliului , cu excepția cazului în care substanțele sunt prezente ca urme neintenționate de contaminant; </w:t>
            </w:r>
          </w:p>
          <w:p w14:paraId="7A5E691C"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(b) mercurul și a compușii mercurului, amestecurile acestora și a produselor cu adaos de mercur, astfel cum sunt definite la articolul 2 din Regulamentul (UE) 2017/852 al Parlamentului European și al Consiliului; </w:t>
            </w:r>
          </w:p>
          <w:p w14:paraId="12F35BFC"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(c) ca atare, în amestecuri sau în articole, substanțele enumerate în anexa I sau anexa II la Regulamentul (CE) nr. 1005/2009 al Parlamentului European și al Consiliului ; </w:t>
            </w:r>
          </w:p>
          <w:p w14:paraId="1D1C97B5"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(d) ca atare, în amestecuri sau în articole, substanțele enumerate în anexa II la Directiva 2011/65/UE a Parlamentului European și a Consiliului , cu excepția cazului în care se respectă pe deplin articolul 4 alineatul (1) din directiva respectivă; </w:t>
            </w:r>
          </w:p>
          <w:p w14:paraId="6CF4C754"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(e) ca atare, în amestecuri sau în articole, substanțele enumerate în anexa XVII la Regulamentul (CE) nr. 1907/2006 al Parlamentului European și al Consiliului, cu excepția cazului în care se respectă pe deplin condițiile specificate în anexa respectivă; </w:t>
            </w:r>
          </w:p>
          <w:p w14:paraId="058FD3C9"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 </w:t>
            </w:r>
          </w:p>
          <w:p w14:paraId="79BC79A4"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(g) altor substanțe care, fie singure, fie în amestecuri, fie ca parte dintr-un articol, îndeplinesc criteriile prevăzute la articolul 57 din Regulamentul (CE) 1907/2006, cu excepția cazului în care s-a dovedit că utilizarea lor este esențială pentru societate. </w:t>
            </w:r>
          </w:p>
          <w:p w14:paraId="4E938E8D" w14:textId="77777777" w:rsidR="00A80D9F" w:rsidRPr="00894993" w:rsidRDefault="00A80D9F" w:rsidP="00894993">
            <w:pPr>
              <w:autoSpaceDE w:val="0"/>
              <w:autoSpaceDN w:val="0"/>
              <w:adjustRightInd w:val="0"/>
              <w:spacing w:before="0" w:after="0"/>
              <w:jc w:val="both"/>
              <w:rPr>
                <w:szCs w:val="20"/>
              </w:rPr>
            </w:pPr>
            <w:r w:rsidRPr="00894993">
              <w:rPr>
                <w:szCs w:val="20"/>
              </w:rPr>
              <w:t xml:space="preserve">Deșeurile solide, materialul rezultat din decopertări, excavații, combustibilii sau uleiurile nu se vor deversa în albia cursului de apă sau lacul de acumulare; se va proceda la colectarea selectivă a deșeurilor în vederea valorificării şi /sau eliminării prin firme autorizate. Pe perioada execuției lucrărilor se va acorda o atenție deosebită scurgerilor de  carburanți și se va asigura un management al deșeurilor adecvat – </w:t>
            </w:r>
            <w:r w:rsidRPr="00894993">
              <w:rPr>
                <w:szCs w:val="20"/>
              </w:rPr>
              <w:lastRenderedPageBreak/>
              <w:t xml:space="preserve">depozitarea deșeurilor se va realiza în locuri bine stabilite, cu asigurarea protecției adecvate pentru a fi evitate infiltrațiile și poluarea acviferelor în caz de ploaie. Se vor utiliza utilaje şi mijloace de transport noi, performante, iar transportul materialelor se va realiza cu autovehicule prevăzute cu prelată. Pentru reducerea nivelulului de zgomot și vibrații, acolo unde va fi cazul, vor fi instalate bariere fonice conforme cu Directiva 2002/49/CE privind evaluarea și gestiunea zgomotului. </w:t>
            </w:r>
          </w:p>
          <w:p w14:paraId="0DD08860" w14:textId="77777777" w:rsidR="00A80D9F" w:rsidRPr="00A80D9F" w:rsidRDefault="00A80D9F" w:rsidP="00A80D9F">
            <w:pPr>
              <w:spacing w:before="0" w:after="160" w:line="256" w:lineRule="auto"/>
              <w:jc w:val="both"/>
              <w:rPr>
                <w:rFonts w:asciiTheme="minorHAnsi" w:eastAsiaTheme="minorHAnsi" w:hAnsiTheme="minorHAnsi" w:cstheme="minorBidi"/>
                <w:sz w:val="24"/>
                <w:szCs w:val="20"/>
              </w:rPr>
            </w:pPr>
          </w:p>
        </w:tc>
      </w:tr>
      <w:tr w:rsidR="00A80D9F" w:rsidRPr="00A80D9F" w14:paraId="49A032B8" w14:textId="77777777" w:rsidTr="00894993">
        <w:trPr>
          <w:trHeight w:val="2930"/>
        </w:trPr>
        <w:tc>
          <w:tcPr>
            <w:tcW w:w="180" w:type="pct"/>
            <w:tcBorders>
              <w:left w:val="single" w:sz="8" w:space="0" w:color="000000"/>
              <w:bottom w:val="single" w:sz="8" w:space="0" w:color="000000"/>
              <w:right w:val="single" w:sz="8" w:space="0" w:color="000000"/>
            </w:tcBorders>
            <w:shd w:val="clear" w:color="auto" w:fill="CCCCCC"/>
            <w:vAlign w:val="center"/>
          </w:tcPr>
          <w:p w14:paraId="3CB7471F" w14:textId="77777777" w:rsidR="00A80D9F" w:rsidRPr="00A80D9F" w:rsidRDefault="00A80D9F" w:rsidP="00A80D9F">
            <w:pPr>
              <w:spacing w:before="0" w:after="160" w:line="256" w:lineRule="auto"/>
              <w:jc w:val="center"/>
              <w:rPr>
                <w:rFonts w:asciiTheme="minorHAnsi" w:eastAsiaTheme="minorHAnsi" w:hAnsiTheme="minorHAnsi" w:cstheme="minorBidi"/>
                <w:sz w:val="24"/>
                <w:szCs w:val="20"/>
              </w:rPr>
            </w:pPr>
            <w:r w:rsidRPr="00A80D9F">
              <w:rPr>
                <w:rFonts w:asciiTheme="minorHAnsi" w:eastAsiaTheme="minorHAnsi" w:hAnsiTheme="minorHAnsi" w:cstheme="minorBidi"/>
                <w:sz w:val="24"/>
                <w:szCs w:val="20"/>
              </w:rPr>
              <w:lastRenderedPageBreak/>
              <w:t>6</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5E303964" w14:textId="77777777" w:rsidR="00A80D9F" w:rsidRPr="00A80D9F" w:rsidRDefault="00A80D9F" w:rsidP="00A80D9F">
            <w:pPr>
              <w:spacing w:before="0" w:after="160" w:line="256" w:lineRule="auto"/>
              <w:jc w:val="center"/>
              <w:rPr>
                <w:rFonts w:asciiTheme="minorHAnsi" w:eastAsiaTheme="minorHAnsi" w:hAnsiTheme="minorHAnsi" w:cstheme="minorBidi"/>
                <w:sz w:val="24"/>
                <w:szCs w:val="20"/>
              </w:rPr>
            </w:pPr>
            <w:r w:rsidRPr="00A80D9F">
              <w:rPr>
                <w:rFonts w:asciiTheme="minorHAnsi" w:eastAsiaTheme="minorHAnsi" w:hAnsiTheme="minorHAnsi" w:cstheme="minorBidi"/>
                <w:sz w:val="24"/>
                <w:szCs w:val="20"/>
              </w:rPr>
              <w:t>Protecția și refacerea biodiversității și ecosistemelor</w:t>
            </w:r>
          </w:p>
        </w:tc>
        <w:tc>
          <w:tcPr>
            <w:tcW w:w="739" w:type="pct"/>
            <w:tcBorders>
              <w:bottom w:val="single" w:sz="8" w:space="0" w:color="000000"/>
            </w:tcBorders>
            <w:vAlign w:val="center"/>
          </w:tcPr>
          <w:p w14:paraId="7B1695F4" w14:textId="4EAFFA71" w:rsidR="00A80D9F" w:rsidRPr="00A80D9F" w:rsidRDefault="005A7C4C" w:rsidP="00A80D9F">
            <w:pPr>
              <w:spacing w:before="0" w:after="240" w:line="256" w:lineRule="auto"/>
              <w:jc w:val="center"/>
              <w:rPr>
                <w:rFonts w:asciiTheme="minorHAnsi" w:eastAsiaTheme="minorHAnsi" w:hAnsiTheme="minorHAnsi" w:cstheme="minorBidi"/>
                <w:b/>
                <w:bCs/>
                <w:sz w:val="24"/>
                <w:szCs w:val="20"/>
              </w:rPr>
            </w:pPr>
            <w:r>
              <w:rPr>
                <w:rFonts w:asciiTheme="minorHAnsi" w:eastAsiaTheme="minorHAnsi" w:hAnsiTheme="minorHAnsi" w:cstheme="minorBidi"/>
                <w:b/>
                <w:bCs/>
                <w:sz w:val="24"/>
                <w:szCs w:val="20"/>
              </w:rPr>
              <w:t>X</w:t>
            </w:r>
          </w:p>
        </w:tc>
        <w:tc>
          <w:tcPr>
            <w:tcW w:w="759" w:type="pct"/>
            <w:tcBorders>
              <w:bottom w:val="single" w:sz="8" w:space="0" w:color="000000"/>
            </w:tcBorders>
            <w:vAlign w:val="center"/>
          </w:tcPr>
          <w:p w14:paraId="2C83AFAC" w14:textId="77777777" w:rsidR="00A80D9F" w:rsidRPr="00A80D9F" w:rsidRDefault="00A80D9F" w:rsidP="00A80D9F">
            <w:pPr>
              <w:spacing w:before="0" w:after="240" w:line="256" w:lineRule="auto"/>
              <w:jc w:val="center"/>
              <w:rPr>
                <w:rFonts w:asciiTheme="minorHAnsi" w:eastAsiaTheme="minorHAnsi" w:hAnsiTheme="minorHAnsi" w:cstheme="minorBidi"/>
                <w:sz w:val="24"/>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52F7210A" w14:textId="77777777" w:rsidR="00A80D9F" w:rsidRPr="00A80D9F" w:rsidRDefault="00A80D9F" w:rsidP="00A80D9F">
            <w:pPr>
              <w:autoSpaceDE w:val="0"/>
              <w:autoSpaceDN w:val="0"/>
              <w:adjustRightInd w:val="0"/>
              <w:spacing w:before="0" w:after="0"/>
              <w:jc w:val="both"/>
              <w:rPr>
                <w:szCs w:val="20"/>
              </w:rPr>
            </w:pPr>
            <w:r w:rsidRPr="00A80D9F">
              <w:rPr>
                <w:szCs w:val="20"/>
              </w:rPr>
              <w:t xml:space="preserve">Investițiile aferente reformei vor avea un efect pozitiv asupra biodiversității în zonele deficitare în păduri, precum și prin reconstrucția funcționalității ecosistemelor forestiere. </w:t>
            </w:r>
          </w:p>
          <w:p w14:paraId="6DBB6861" w14:textId="77777777" w:rsidR="00A80D9F" w:rsidRPr="00A80D9F" w:rsidRDefault="00A80D9F" w:rsidP="00A80D9F">
            <w:pPr>
              <w:spacing w:before="240" w:after="160" w:line="256" w:lineRule="auto"/>
              <w:jc w:val="both"/>
              <w:rPr>
                <w:rFonts w:asciiTheme="minorHAnsi" w:eastAsiaTheme="minorHAnsi" w:hAnsiTheme="minorHAnsi" w:cstheme="minorBidi"/>
                <w:sz w:val="24"/>
                <w:szCs w:val="20"/>
              </w:rPr>
            </w:pPr>
            <w:r w:rsidRPr="00894993">
              <w:rPr>
                <w:szCs w:val="20"/>
              </w:rPr>
              <w:t>De asemenea, proiectele de împădurire / reîmpădurire vor fi în conformitate cu planurile de management existente sau noi și vor fi implementate cu respectarea procedurii EIA pentru împădurire (anexa II la Directiva EIA). De asemenea, pentru măsurile de reîmpădurire în ariile protejate, vor fi efectuate verificări pentru a asigurarea că proiectele de plantare a copacilor nu vor avea un impact semnificativ asupra speciilor sau habitatelor protejate, așa cum este prevăzut de articolului 6 din Directiva Habitate și Directiva SEA.</w:t>
            </w:r>
            <w:r w:rsidRPr="00A80D9F">
              <w:rPr>
                <w:rFonts w:asciiTheme="minorHAnsi" w:eastAsiaTheme="minorHAnsi" w:hAnsiTheme="minorHAnsi" w:cstheme="minorBidi"/>
                <w:szCs w:val="20"/>
              </w:rPr>
              <w:t xml:space="preserve"> </w:t>
            </w:r>
          </w:p>
        </w:tc>
      </w:tr>
    </w:tbl>
    <w:bookmarkStart w:id="1" w:name="_Hlk126742634"/>
    <w:p w14:paraId="579E385C" w14:textId="51C62102" w:rsidR="002857E2" w:rsidRPr="00A80D9F" w:rsidRDefault="005A7C4C" w:rsidP="00894993">
      <w:pPr>
        <w:rPr>
          <w:rFonts w:eastAsia="Arial"/>
        </w:rPr>
      </w:pPr>
      <w:sdt>
        <w:sdtPr>
          <w:rPr>
            <w:rStyle w:val="Style4Char"/>
          </w:rPr>
          <w:id w:val="-1020772298"/>
          <w:placeholder>
            <w:docPart w:val="0488E1AE72AF4AD1871664DB6986DE04"/>
          </w:placeholder>
          <w:showingPlcHdr/>
          <w:date>
            <w:dateFormat w:val="dd.MM.yyyy"/>
            <w:lid w:val="ro-RO"/>
            <w:storeMappedDataAs w:val="dateTime"/>
            <w:calendar w:val="gregorian"/>
          </w:date>
        </w:sdtPr>
        <w:sdtEndPr>
          <w:rPr>
            <w:rStyle w:val="DefaultParagraphFont"/>
            <w:rFonts w:cstheme="minorHAnsi"/>
            <w:b w:val="0"/>
            <w:szCs w:val="22"/>
          </w:rPr>
        </w:sdtEndPr>
        <w:sdtContent>
          <w:r w:rsidRPr="005728E1">
            <w:rPr>
              <w:rFonts w:cstheme="minorHAnsi"/>
              <w:color w:val="808080" w:themeColor="background1" w:themeShade="80"/>
              <w:sz w:val="22"/>
              <w:szCs w:val="22"/>
              <w:highlight w:val="lightGray"/>
            </w:rPr>
            <w:t>[Selectează data]</w:t>
          </w:r>
        </w:sdtContent>
      </w:sdt>
      <w:bookmarkEnd w:id="1"/>
      <w:r>
        <w:rPr>
          <w:rStyle w:val="Style4Char"/>
        </w:rPr>
        <w:t xml:space="preserve">               </w:t>
      </w:r>
      <w:r>
        <w:rPr>
          <w:rStyle w:val="Style4Char"/>
        </w:rPr>
        <w:tab/>
      </w:r>
      <w:r>
        <w:rPr>
          <w:rStyle w:val="Style4Char"/>
        </w:rPr>
        <w:tab/>
      </w:r>
      <w:r>
        <w:rPr>
          <w:rStyle w:val="Style4Char"/>
        </w:rPr>
        <w:tab/>
      </w:r>
      <w:r>
        <w:rPr>
          <w:rStyle w:val="Style4Char"/>
        </w:rPr>
        <w:tab/>
        <w:t xml:space="preserve">           </w:t>
      </w:r>
      <w:sdt>
        <w:sdtPr>
          <w:rPr>
            <w:rStyle w:val="Style4Char"/>
          </w:rPr>
          <w:id w:val="-89159063"/>
          <w:placeholder>
            <w:docPart w:val="2BC44EC954EA4B939AA35735386E5F92"/>
          </w:placeholder>
          <w:showingPlcHdr/>
        </w:sdtPr>
        <w:sdtEndPr>
          <w:rPr>
            <w:rStyle w:val="DefaultParagraphFont"/>
            <w:rFonts w:cstheme="minorHAnsi"/>
            <w:b w:val="0"/>
            <w:szCs w:val="22"/>
          </w:rPr>
        </w:sdtEndPr>
        <w:sdtContent>
          <w:r w:rsidRPr="005728E1">
            <w:rPr>
              <w:rFonts w:cstheme="minorHAnsi"/>
              <w:color w:val="808080" w:themeColor="background1" w:themeShade="80"/>
              <w:sz w:val="22"/>
              <w:szCs w:val="22"/>
              <w:highlight w:val="lightGray"/>
            </w:rPr>
            <w:t>[Nume și prenume]</w:t>
          </w:r>
        </w:sdtContent>
      </w:sdt>
      <w:r>
        <w:rPr>
          <w:rStyle w:val="Style4Char"/>
        </w:rPr>
        <w:t xml:space="preserve">                          Semnătura _______________</w:t>
      </w:r>
    </w:p>
    <w:sectPr w:rsidR="002857E2" w:rsidRPr="00A80D9F" w:rsidSect="00894993">
      <w:footerReference w:type="even" r:id="rId8"/>
      <w:footerReference w:type="default" r:id="rId9"/>
      <w:headerReference w:type="first" r:id="rId10"/>
      <w:pgSz w:w="15840" w:h="12240" w:orient="landscape"/>
      <w:pgMar w:top="1050" w:right="720" w:bottom="1350" w:left="1440" w:header="539" w:footer="4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6CF73" w14:textId="77777777" w:rsidR="00FC6478" w:rsidRDefault="00FC6478">
      <w:r>
        <w:separator/>
      </w:r>
    </w:p>
  </w:endnote>
  <w:endnote w:type="continuationSeparator" w:id="0">
    <w:p w14:paraId="31CB0555" w14:textId="77777777" w:rsidR="00FC6478" w:rsidRDefault="00FC6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charset w:val="00"/>
    <w:family w:val="auto"/>
    <w:pitch w:val="variable"/>
    <w:sig w:usb0="800002EF" w:usb1="1000E0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0276F" w14:textId="77777777" w:rsidR="00E64513" w:rsidRPr="00E64513" w:rsidRDefault="00E64513" w:rsidP="00E64513">
    <w:pPr>
      <w:pStyle w:val="Footer"/>
      <w:spacing w:before="0" w:after="0"/>
      <w:jc w:val="center"/>
      <w:rPr>
        <w:rStyle w:val="PageNumber"/>
        <w:noProof/>
        <w:color w:val="333333"/>
        <w:sz w:val="14"/>
      </w:rPr>
    </w:pPr>
    <w:r w:rsidRPr="00E64513">
      <w:rPr>
        <w:rStyle w:val="PageNumber"/>
        <w:noProof/>
        <w:color w:val="333333"/>
        <w:sz w:val="14"/>
      </w:rPr>
      <w:fldChar w:fldCharType="begin"/>
    </w:r>
    <w:r w:rsidRPr="00E64513">
      <w:rPr>
        <w:rStyle w:val="PageNumber"/>
        <w:noProof/>
        <w:color w:val="333333"/>
        <w:sz w:val="14"/>
      </w:rPr>
      <w:instrText xml:space="preserve"> PAGE   \* MERGEFORMAT </w:instrText>
    </w:r>
    <w:r w:rsidRPr="00E64513">
      <w:rPr>
        <w:rStyle w:val="PageNumber"/>
        <w:noProof/>
        <w:color w:val="333333"/>
        <w:sz w:val="14"/>
      </w:rPr>
      <w:fldChar w:fldCharType="separate"/>
    </w:r>
    <w:r w:rsidR="00C64104">
      <w:rPr>
        <w:rStyle w:val="PageNumber"/>
        <w:noProof/>
        <w:color w:val="333333"/>
        <w:sz w:val="14"/>
      </w:rPr>
      <w:t>8</w:t>
    </w:r>
    <w:r w:rsidRPr="00E64513">
      <w:rPr>
        <w:rStyle w:val="PageNumber"/>
        <w:color w:val="333333"/>
        <w:sz w:val="14"/>
      </w:rPr>
      <w:fldChar w:fldCharType="end"/>
    </w:r>
  </w:p>
  <w:p w14:paraId="78458238" w14:textId="77777777" w:rsidR="000C4E33" w:rsidRDefault="000C4E33">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9288"/>
    </w:tblGrid>
    <w:tr w:rsidR="000C4E33" w14:paraId="7FCCBB53" w14:textId="77777777">
      <w:tc>
        <w:tcPr>
          <w:tcW w:w="9288" w:type="dxa"/>
        </w:tcPr>
        <w:p w14:paraId="5DAAE2D4" w14:textId="77777777" w:rsidR="000C4E33" w:rsidRDefault="000C4E33">
          <w:pPr>
            <w:pStyle w:val="Footer"/>
            <w:spacing w:before="0" w:after="0"/>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A712E7">
            <w:rPr>
              <w:rStyle w:val="PageNumber"/>
              <w:noProof/>
              <w:color w:val="333333"/>
              <w:sz w:val="14"/>
            </w:rPr>
            <w:t>4</w:t>
          </w:r>
          <w:r>
            <w:rPr>
              <w:rStyle w:val="PageNumber"/>
              <w:color w:val="333333"/>
              <w:sz w:val="14"/>
            </w:rPr>
            <w:fldChar w:fldCharType="end"/>
          </w:r>
        </w:p>
      </w:tc>
    </w:tr>
  </w:tbl>
  <w:p w14:paraId="6C3B56F6" w14:textId="77777777" w:rsidR="000C4E33" w:rsidRDefault="000C4E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E937B" w14:textId="77777777" w:rsidR="00FC6478" w:rsidRDefault="00FC6478">
      <w:r>
        <w:separator/>
      </w:r>
    </w:p>
  </w:footnote>
  <w:footnote w:type="continuationSeparator" w:id="0">
    <w:p w14:paraId="366653FE" w14:textId="77777777" w:rsidR="00FC6478" w:rsidRDefault="00FC64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051" w:type="dxa"/>
      <w:tblInd w:w="108" w:type="dxa"/>
      <w:tblLook w:val="0000" w:firstRow="0" w:lastRow="0" w:firstColumn="0" w:lastColumn="0" w:noHBand="0" w:noVBand="0"/>
    </w:tblPr>
    <w:tblGrid>
      <w:gridCol w:w="13051"/>
    </w:tblGrid>
    <w:tr w:rsidR="00894993" w14:paraId="1AAAF5F9" w14:textId="77777777" w:rsidTr="00894993">
      <w:trPr>
        <w:trHeight w:val="232"/>
      </w:trPr>
      <w:tc>
        <w:tcPr>
          <w:tcW w:w="13051" w:type="dxa"/>
        </w:tcPr>
        <w:p w14:paraId="2C450C0F" w14:textId="77777777" w:rsidR="00894993" w:rsidRPr="00AC6B8A" w:rsidRDefault="00894993" w:rsidP="00894993">
          <w:pPr>
            <w:tabs>
              <w:tab w:val="left" w:pos="330"/>
              <w:tab w:val="center" w:pos="4536"/>
              <w:tab w:val="right" w:pos="9072"/>
              <w:tab w:val="right" w:pos="9870"/>
            </w:tabs>
            <w:spacing w:after="0"/>
            <w:ind w:left="54"/>
            <w:rPr>
              <w:rFonts w:cstheme="minorHAnsi"/>
              <w:b/>
              <w:color w:val="333333"/>
              <w:sz w:val="16"/>
              <w:szCs w:val="16"/>
            </w:rPr>
          </w:pPr>
          <w:r w:rsidRPr="00AC6B8A">
            <w:rPr>
              <w:rFonts w:cstheme="minorHAnsi"/>
              <w:b/>
              <w:color w:val="333333"/>
              <w:sz w:val="16"/>
              <w:szCs w:val="16"/>
            </w:rPr>
            <w:t xml:space="preserve">Planului Național de Redresare și Reziliență </w:t>
          </w:r>
        </w:p>
        <w:p w14:paraId="6FEC6B78" w14:textId="77777777" w:rsidR="00894993" w:rsidRPr="008868BD" w:rsidRDefault="00894993" w:rsidP="00894993">
          <w:pPr>
            <w:tabs>
              <w:tab w:val="left" w:pos="330"/>
              <w:tab w:val="center" w:pos="4536"/>
              <w:tab w:val="right" w:pos="9072"/>
              <w:tab w:val="right" w:pos="9870"/>
            </w:tabs>
            <w:spacing w:after="0"/>
            <w:ind w:left="54"/>
            <w:rPr>
              <w:rFonts w:cstheme="minorHAnsi"/>
              <w:b/>
              <w:color w:val="333333"/>
              <w:sz w:val="16"/>
              <w:szCs w:val="16"/>
            </w:rPr>
          </w:pPr>
          <w:r w:rsidRPr="008868BD">
            <w:rPr>
              <w:rFonts w:cstheme="minorHAnsi"/>
              <w:b/>
              <w:color w:val="333333"/>
              <w:sz w:val="16"/>
              <w:szCs w:val="16"/>
            </w:rPr>
            <w:t>Componenta 2 – Paduri si protectia biodiversitatii</w:t>
          </w:r>
        </w:p>
        <w:p w14:paraId="5BE3DA7F" w14:textId="50D55DC2" w:rsidR="00894993" w:rsidRDefault="00894993" w:rsidP="00894993">
          <w:pPr>
            <w:tabs>
              <w:tab w:val="left" w:pos="330"/>
              <w:tab w:val="center" w:pos="4536"/>
              <w:tab w:val="right" w:pos="9072"/>
              <w:tab w:val="right" w:pos="9870"/>
            </w:tabs>
            <w:spacing w:after="0"/>
            <w:ind w:left="54"/>
            <w:rPr>
              <w:rFonts w:cstheme="minorHAnsi"/>
              <w:b/>
              <w:color w:val="333333"/>
              <w:sz w:val="16"/>
              <w:szCs w:val="16"/>
            </w:rPr>
          </w:pPr>
          <w:r w:rsidRPr="008868BD">
            <w:rPr>
              <w:rFonts w:cstheme="minorHAnsi"/>
              <w:b/>
              <w:color w:val="333333"/>
              <w:sz w:val="16"/>
              <w:szCs w:val="16"/>
            </w:rPr>
            <w:t xml:space="preserve">Investiția I1. Campania națională de împădurire și reîmpădurire, inclusiv păduri urbane </w:t>
          </w:r>
        </w:p>
        <w:p w14:paraId="135F6C88" w14:textId="634082B1" w:rsidR="002832CC" w:rsidRPr="0048799C" w:rsidRDefault="002832CC" w:rsidP="002832CC">
          <w:pPr>
            <w:tabs>
              <w:tab w:val="left" w:pos="330"/>
              <w:tab w:val="center" w:pos="4536"/>
              <w:tab w:val="right" w:pos="9072"/>
              <w:tab w:val="right" w:pos="9870"/>
            </w:tabs>
            <w:spacing w:after="0"/>
            <w:rPr>
              <w:rFonts w:cstheme="minorHAnsi"/>
              <w:b/>
              <w:color w:val="333333"/>
              <w:sz w:val="16"/>
              <w:szCs w:val="16"/>
            </w:rPr>
          </w:pPr>
          <w:r>
            <w:rPr>
              <w:rFonts w:cstheme="minorHAnsi"/>
              <w:b/>
              <w:color w:val="333333"/>
              <w:sz w:val="16"/>
              <w:szCs w:val="16"/>
            </w:rPr>
            <w:t xml:space="preserve"> </w:t>
          </w:r>
          <w:r w:rsidRPr="0048799C">
            <w:rPr>
              <w:rFonts w:cstheme="minorHAnsi"/>
              <w:b/>
              <w:color w:val="333333"/>
              <w:sz w:val="16"/>
              <w:szCs w:val="16"/>
            </w:rPr>
            <w:t xml:space="preserve">PNRR/2022/C2/I1.B </w:t>
          </w:r>
        </w:p>
        <w:p w14:paraId="6BC90AA9" w14:textId="77777777" w:rsidR="00894993" w:rsidRDefault="00894993" w:rsidP="00894993">
          <w:pPr>
            <w:tabs>
              <w:tab w:val="left" w:pos="330"/>
              <w:tab w:val="center" w:pos="4536"/>
              <w:tab w:val="right" w:pos="9072"/>
              <w:tab w:val="right" w:pos="9870"/>
            </w:tabs>
            <w:spacing w:after="0"/>
            <w:ind w:left="54"/>
            <w:jc w:val="right"/>
            <w:rPr>
              <w:rFonts w:asciiTheme="minorHAnsi" w:hAnsiTheme="minorHAnsi" w:cstheme="minorHAnsi"/>
              <w:b/>
              <w:color w:val="333333"/>
              <w:sz w:val="16"/>
              <w:szCs w:val="16"/>
            </w:rPr>
          </w:pPr>
          <w:r>
            <w:rPr>
              <w:rFonts w:asciiTheme="minorHAnsi" w:hAnsiTheme="minorHAnsi" w:cstheme="minorHAnsi"/>
              <w:b/>
              <w:color w:val="333333"/>
              <w:sz w:val="16"/>
              <w:szCs w:val="16"/>
            </w:rPr>
            <w:tab/>
            <w:t xml:space="preserve">Anexa 7 la </w:t>
          </w:r>
          <w:r>
            <w:rPr>
              <w:rFonts w:asciiTheme="minorHAnsi" w:hAnsiTheme="minorHAnsi" w:cstheme="minorHAnsi"/>
              <w:b/>
              <w:bCs/>
              <w:color w:val="333333"/>
              <w:sz w:val="14"/>
            </w:rPr>
            <w:t>Ghidul specific</w:t>
          </w:r>
        </w:p>
      </w:tc>
    </w:tr>
    <w:tr w:rsidR="00894993" w14:paraId="5EE86874" w14:textId="77777777" w:rsidTr="00894993">
      <w:trPr>
        <w:cantSplit/>
        <w:trHeight w:val="310"/>
      </w:trPr>
      <w:tc>
        <w:tcPr>
          <w:tcW w:w="13051" w:type="dxa"/>
        </w:tcPr>
        <w:p w14:paraId="2BAB1F9C" w14:textId="18F8B74D" w:rsidR="00894993" w:rsidRDefault="00894993" w:rsidP="00894993">
          <w:pPr>
            <w:spacing w:after="0"/>
            <w:ind w:left="54"/>
            <w:jc w:val="right"/>
            <w:rPr>
              <w:rFonts w:asciiTheme="minorHAnsi" w:hAnsiTheme="minorHAnsi" w:cstheme="minorHAnsi"/>
              <w:b/>
              <w:bCs/>
              <w:color w:val="808080"/>
              <w:sz w:val="16"/>
              <w:szCs w:val="16"/>
            </w:rPr>
          </w:pPr>
          <w:r>
            <w:rPr>
              <w:rFonts w:asciiTheme="minorHAnsi" w:hAnsiTheme="minorHAnsi" w:cstheme="minorHAnsi"/>
              <w:b/>
              <w:bCs/>
              <w:color w:val="333333"/>
              <w:sz w:val="16"/>
              <w:szCs w:val="16"/>
            </w:rPr>
            <w:t xml:space="preserve"> Model G</w:t>
          </w:r>
        </w:p>
      </w:tc>
    </w:tr>
    <w:tr w:rsidR="00894993" w14:paraId="07025A5F" w14:textId="77777777" w:rsidTr="00894993">
      <w:trPr>
        <w:cantSplit/>
        <w:trHeight w:val="310"/>
      </w:trPr>
      <w:tc>
        <w:tcPr>
          <w:tcW w:w="13051" w:type="dxa"/>
        </w:tcPr>
        <w:p w14:paraId="55F7303C" w14:textId="77777777" w:rsidR="00894993" w:rsidRDefault="00894993" w:rsidP="00894993">
          <w:pPr>
            <w:spacing w:after="0"/>
            <w:rPr>
              <w:rFonts w:asciiTheme="minorHAnsi" w:hAnsiTheme="minorHAnsi" w:cstheme="minorHAnsi"/>
              <w:b/>
              <w:bCs/>
              <w:color w:val="333333"/>
              <w:sz w:val="16"/>
              <w:szCs w:val="16"/>
            </w:rPr>
          </w:pPr>
        </w:p>
      </w:tc>
    </w:tr>
  </w:tbl>
  <w:p w14:paraId="2EBC636E" w14:textId="189CB647" w:rsidR="007C47E5" w:rsidRPr="00A80D9F" w:rsidRDefault="007C47E5" w:rsidP="00894993">
    <w:pPr>
      <w:spacing w:before="0" w:after="160" w:line="259" w:lineRule="auto"/>
      <w:jc w:val="both"/>
      <w:rPr>
        <w:rFonts w:asciiTheme="minorHAnsi" w:eastAsiaTheme="minorHAnsi" w:hAnsiTheme="minorHAnsi" w:cstheme="minorBidi"/>
        <w:b/>
        <w:bCs/>
        <w:sz w:val="24"/>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172A0E"/>
    <w:multiLevelType w:val="multilevel"/>
    <w:tmpl w:val="DAAA68BE"/>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1440"/>
        </w:tabs>
        <w:ind w:left="1440" w:hanging="360"/>
      </w:pPr>
      <w:rPr>
        <w:rFonts w:hint="default"/>
        <w:b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86B1E1E"/>
    <w:multiLevelType w:val="hybridMultilevel"/>
    <w:tmpl w:val="27B4943A"/>
    <w:lvl w:ilvl="0" w:tplc="93640CD2">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3"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CED0913"/>
    <w:multiLevelType w:val="hybridMultilevel"/>
    <w:tmpl w:val="2D5A554C"/>
    <w:lvl w:ilvl="0" w:tplc="6F8A5CB6">
      <w:start w:val="4"/>
      <w:numFmt w:val="bullet"/>
      <w:lvlText w:val="-"/>
      <w:lvlJc w:val="left"/>
      <w:pPr>
        <w:ind w:left="720" w:hanging="360"/>
      </w:pPr>
      <w:rPr>
        <w:rFonts w:ascii="Trebuchet MS" w:eastAsia="Times New Roman" w:hAnsi="Trebuchet MS"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51A4B4B"/>
    <w:multiLevelType w:val="hybridMultilevel"/>
    <w:tmpl w:val="7E7AAA6A"/>
    <w:lvl w:ilvl="0" w:tplc="C94E321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C96E58"/>
    <w:multiLevelType w:val="hybridMultilevel"/>
    <w:tmpl w:val="5C78C86E"/>
    <w:lvl w:ilvl="0" w:tplc="CDA6F382">
      <w:start w:val="4"/>
      <w:numFmt w:val="bullet"/>
      <w:lvlText w:val="-"/>
      <w:lvlJc w:val="left"/>
      <w:pPr>
        <w:ind w:left="720" w:hanging="360"/>
      </w:pPr>
      <w:rPr>
        <w:rFonts w:ascii="Trebuchet MS" w:eastAsia="Times New Roman"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6E51172"/>
    <w:multiLevelType w:val="hybridMultilevel"/>
    <w:tmpl w:val="DCF4F53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180"/>
        </w:tabs>
        <w:ind w:left="1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8" w15:restartNumberingAfterBreak="0">
    <w:nsid w:val="1D061461"/>
    <w:multiLevelType w:val="hybridMultilevel"/>
    <w:tmpl w:val="7E7AAA6A"/>
    <w:lvl w:ilvl="0" w:tplc="C94E321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0"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2" w15:restartNumberingAfterBreak="0">
    <w:nsid w:val="26234D40"/>
    <w:multiLevelType w:val="hybridMultilevel"/>
    <w:tmpl w:val="5B14ABBA"/>
    <w:lvl w:ilvl="0" w:tplc="7C7E78F8">
      <w:numFmt w:val="bullet"/>
      <w:lvlText w:val="-"/>
      <w:lvlJc w:val="left"/>
      <w:pPr>
        <w:ind w:left="358" w:hanging="360"/>
      </w:pPr>
      <w:rPr>
        <w:rFonts w:ascii="Trebuchet MS" w:eastAsia="Times New Roman" w:hAnsi="Trebuchet MS" w:cs="Arial"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13" w15:restartNumberingAfterBreak="0">
    <w:nsid w:val="31943AA0"/>
    <w:multiLevelType w:val="hybridMultilevel"/>
    <w:tmpl w:val="9E38499A"/>
    <w:lvl w:ilvl="0" w:tplc="75CCB000">
      <w:start w:val="1"/>
      <w:numFmt w:val="upp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68133DC"/>
    <w:multiLevelType w:val="hybridMultilevel"/>
    <w:tmpl w:val="9EF210E8"/>
    <w:lvl w:ilvl="0" w:tplc="04180019">
      <w:start w:val="1"/>
      <w:numFmt w:val="lowerLetter"/>
      <w:lvlText w:val="%1."/>
      <w:lvlJc w:val="left"/>
      <w:pPr>
        <w:ind w:left="1080" w:hanging="360"/>
      </w:pPr>
      <w:rPr>
        <w:rFonts w:hint="default"/>
      </w:rPr>
    </w:lvl>
    <w:lvl w:ilvl="1" w:tplc="04180019">
      <w:start w:val="1"/>
      <w:numFmt w:val="lowerLetter"/>
      <w:lvlText w:val="%2."/>
      <w:lvlJc w:val="left"/>
      <w:pPr>
        <w:ind w:left="1527" w:hanging="360"/>
      </w:pPr>
    </w:lvl>
    <w:lvl w:ilvl="2" w:tplc="0418001B" w:tentative="1">
      <w:start w:val="1"/>
      <w:numFmt w:val="lowerRoman"/>
      <w:lvlText w:val="%3."/>
      <w:lvlJc w:val="right"/>
      <w:pPr>
        <w:ind w:left="2247" w:hanging="180"/>
      </w:pPr>
    </w:lvl>
    <w:lvl w:ilvl="3" w:tplc="0418000F" w:tentative="1">
      <w:start w:val="1"/>
      <w:numFmt w:val="decimal"/>
      <w:lvlText w:val="%4."/>
      <w:lvlJc w:val="left"/>
      <w:pPr>
        <w:ind w:left="2967" w:hanging="360"/>
      </w:pPr>
    </w:lvl>
    <w:lvl w:ilvl="4" w:tplc="04180019" w:tentative="1">
      <w:start w:val="1"/>
      <w:numFmt w:val="lowerLetter"/>
      <w:lvlText w:val="%5."/>
      <w:lvlJc w:val="left"/>
      <w:pPr>
        <w:ind w:left="3687" w:hanging="360"/>
      </w:pPr>
    </w:lvl>
    <w:lvl w:ilvl="5" w:tplc="0418001B" w:tentative="1">
      <w:start w:val="1"/>
      <w:numFmt w:val="lowerRoman"/>
      <w:lvlText w:val="%6."/>
      <w:lvlJc w:val="right"/>
      <w:pPr>
        <w:ind w:left="4407" w:hanging="180"/>
      </w:pPr>
    </w:lvl>
    <w:lvl w:ilvl="6" w:tplc="0418000F" w:tentative="1">
      <w:start w:val="1"/>
      <w:numFmt w:val="decimal"/>
      <w:lvlText w:val="%7."/>
      <w:lvlJc w:val="left"/>
      <w:pPr>
        <w:ind w:left="5127" w:hanging="360"/>
      </w:pPr>
    </w:lvl>
    <w:lvl w:ilvl="7" w:tplc="04180019" w:tentative="1">
      <w:start w:val="1"/>
      <w:numFmt w:val="lowerLetter"/>
      <w:lvlText w:val="%8."/>
      <w:lvlJc w:val="left"/>
      <w:pPr>
        <w:ind w:left="5847" w:hanging="360"/>
      </w:pPr>
    </w:lvl>
    <w:lvl w:ilvl="8" w:tplc="0418001B" w:tentative="1">
      <w:start w:val="1"/>
      <w:numFmt w:val="lowerRoman"/>
      <w:lvlText w:val="%9."/>
      <w:lvlJc w:val="right"/>
      <w:pPr>
        <w:ind w:left="6567" w:hanging="180"/>
      </w:pPr>
    </w:lvl>
  </w:abstractNum>
  <w:abstractNum w:abstractNumId="15" w15:restartNumberingAfterBreak="0">
    <w:nsid w:val="3BA7371B"/>
    <w:multiLevelType w:val="hybridMultilevel"/>
    <w:tmpl w:val="9A067478"/>
    <w:lvl w:ilvl="0" w:tplc="8B828BB2">
      <w:start w:val="1"/>
      <w:numFmt w:val="bullet"/>
      <w:lvlText w:val="-"/>
      <w:lvlJc w:val="left"/>
      <w:pPr>
        <w:ind w:left="420" w:hanging="360"/>
      </w:pPr>
      <w:rPr>
        <w:rFonts w:ascii="Times New Roman" w:eastAsia="Arial"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3D1C2E26"/>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7" w15:restartNumberingAfterBreak="0">
    <w:nsid w:val="413C4A3B"/>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D047B7"/>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1"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2"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601131FE"/>
    <w:multiLevelType w:val="hybridMultilevel"/>
    <w:tmpl w:val="3BC6A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D034C8"/>
    <w:multiLevelType w:val="hybridMultilevel"/>
    <w:tmpl w:val="2E28188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5" w15:restartNumberingAfterBreak="0">
    <w:nsid w:val="6BDC1CCB"/>
    <w:multiLevelType w:val="hybridMultilevel"/>
    <w:tmpl w:val="7E7AAA6A"/>
    <w:lvl w:ilvl="0" w:tplc="C94E321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6451381"/>
    <w:multiLevelType w:val="hybridMultilevel"/>
    <w:tmpl w:val="C04EED8C"/>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EBB17E4"/>
    <w:multiLevelType w:val="hybridMultilevel"/>
    <w:tmpl w:val="A53ED484"/>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num w:numId="1" w16cid:durableId="1538815726">
    <w:abstractNumId w:val="10"/>
  </w:num>
  <w:num w:numId="2" w16cid:durableId="688873753">
    <w:abstractNumId w:val="22"/>
  </w:num>
  <w:num w:numId="3" w16cid:durableId="928539533">
    <w:abstractNumId w:val="19"/>
  </w:num>
  <w:num w:numId="4" w16cid:durableId="1801151268">
    <w:abstractNumId w:val="18"/>
  </w:num>
  <w:num w:numId="5" w16cid:durableId="117380536">
    <w:abstractNumId w:val="1"/>
  </w:num>
  <w:num w:numId="6" w16cid:durableId="975643685">
    <w:abstractNumId w:val="11"/>
  </w:num>
  <w:num w:numId="7" w16cid:durableId="1207447344">
    <w:abstractNumId w:val="9"/>
  </w:num>
  <w:num w:numId="8" w16cid:durableId="1402824559">
    <w:abstractNumId w:val="7"/>
  </w:num>
  <w:num w:numId="9" w16cid:durableId="65416749">
    <w:abstractNumId w:val="21"/>
  </w:num>
  <w:num w:numId="10" w16cid:durableId="1916091574">
    <w:abstractNumId w:val="26"/>
  </w:num>
  <w:num w:numId="11" w16cid:durableId="1323385783">
    <w:abstractNumId w:val="24"/>
  </w:num>
  <w:num w:numId="12" w16cid:durableId="1290210517">
    <w:abstractNumId w:val="13"/>
  </w:num>
  <w:num w:numId="13" w16cid:durableId="1289780500">
    <w:abstractNumId w:val="14"/>
  </w:num>
  <w:num w:numId="14" w16cid:durableId="660162724">
    <w:abstractNumId w:val="3"/>
  </w:num>
  <w:num w:numId="15" w16cid:durableId="351536888">
    <w:abstractNumId w:val="12"/>
  </w:num>
  <w:num w:numId="16" w16cid:durableId="1941138953">
    <w:abstractNumId w:val="20"/>
  </w:num>
  <w:num w:numId="17" w16cid:durableId="1100103207">
    <w:abstractNumId w:val="2"/>
  </w:num>
  <w:num w:numId="18" w16cid:durableId="834566772">
    <w:abstractNumId w:val="17"/>
  </w:num>
  <w:num w:numId="19" w16cid:durableId="1657103470">
    <w:abstractNumId w:val="27"/>
  </w:num>
  <w:num w:numId="20" w16cid:durableId="869535798">
    <w:abstractNumId w:val="16"/>
  </w:num>
  <w:num w:numId="21" w16cid:durableId="93403180">
    <w:abstractNumId w:val="4"/>
  </w:num>
  <w:num w:numId="22" w16cid:durableId="293872399">
    <w:abstractNumId w:val="6"/>
  </w:num>
  <w:num w:numId="23" w16cid:durableId="2125269820">
    <w:abstractNumId w:val="19"/>
  </w:num>
  <w:num w:numId="24" w16cid:durableId="2099710210">
    <w:abstractNumId w:val="23"/>
  </w:num>
  <w:num w:numId="25" w16cid:durableId="1487890247">
    <w:abstractNumId w:val="15"/>
  </w:num>
  <w:num w:numId="26" w16cid:durableId="2111772506">
    <w:abstractNumId w:val="25"/>
  </w:num>
  <w:num w:numId="27" w16cid:durableId="727731466">
    <w:abstractNumId w:val="8"/>
  </w:num>
  <w:num w:numId="28" w16cid:durableId="6101343">
    <w:abstractNumId w:val="5"/>
  </w:num>
  <w:num w:numId="29" w16cid:durableId="1408578989">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8+BPa+fZv+v/LfOapQEiHFCxhRGpaOBWAdPqE/kQHt4tx09M2fdecawKhREhZEUT1UowH4opnSOjytNsd0RVrg==" w:salt="Y0CtYwsur72ToVOi/ajYEQ=="/>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267"/>
    <w:rsid w:val="0000081B"/>
    <w:rsid w:val="00005E34"/>
    <w:rsid w:val="00005FD3"/>
    <w:rsid w:val="000064F5"/>
    <w:rsid w:val="00007ED8"/>
    <w:rsid w:val="00010BF0"/>
    <w:rsid w:val="00013A11"/>
    <w:rsid w:val="000172A8"/>
    <w:rsid w:val="000172BB"/>
    <w:rsid w:val="00021A10"/>
    <w:rsid w:val="00022713"/>
    <w:rsid w:val="00025093"/>
    <w:rsid w:val="000341C2"/>
    <w:rsid w:val="00036B5E"/>
    <w:rsid w:val="00037DE3"/>
    <w:rsid w:val="0004043F"/>
    <w:rsid w:val="00042A95"/>
    <w:rsid w:val="00047365"/>
    <w:rsid w:val="000575C2"/>
    <w:rsid w:val="00061D8F"/>
    <w:rsid w:val="000643F3"/>
    <w:rsid w:val="00070457"/>
    <w:rsid w:val="0007077B"/>
    <w:rsid w:val="00072411"/>
    <w:rsid w:val="00072ACB"/>
    <w:rsid w:val="000733C3"/>
    <w:rsid w:val="00076B35"/>
    <w:rsid w:val="00077D4C"/>
    <w:rsid w:val="00085BA2"/>
    <w:rsid w:val="00094121"/>
    <w:rsid w:val="00094192"/>
    <w:rsid w:val="000A29F9"/>
    <w:rsid w:val="000A46E0"/>
    <w:rsid w:val="000A5711"/>
    <w:rsid w:val="000A5B64"/>
    <w:rsid w:val="000A7070"/>
    <w:rsid w:val="000A79C6"/>
    <w:rsid w:val="000A7D9A"/>
    <w:rsid w:val="000B0CA1"/>
    <w:rsid w:val="000B2004"/>
    <w:rsid w:val="000B28EF"/>
    <w:rsid w:val="000B5465"/>
    <w:rsid w:val="000C34A9"/>
    <w:rsid w:val="000C4E33"/>
    <w:rsid w:val="000C75C0"/>
    <w:rsid w:val="000D0464"/>
    <w:rsid w:val="000D10E6"/>
    <w:rsid w:val="000D5004"/>
    <w:rsid w:val="000D5F13"/>
    <w:rsid w:val="000D6A3E"/>
    <w:rsid w:val="000E719C"/>
    <w:rsid w:val="000F627D"/>
    <w:rsid w:val="00101A7C"/>
    <w:rsid w:val="00106E69"/>
    <w:rsid w:val="00111E96"/>
    <w:rsid w:val="00113C16"/>
    <w:rsid w:val="00120389"/>
    <w:rsid w:val="00121622"/>
    <w:rsid w:val="0012335A"/>
    <w:rsid w:val="001252E2"/>
    <w:rsid w:val="001304BA"/>
    <w:rsid w:val="001349D3"/>
    <w:rsid w:val="00135652"/>
    <w:rsid w:val="00140829"/>
    <w:rsid w:val="00141464"/>
    <w:rsid w:val="001423ED"/>
    <w:rsid w:val="001463E5"/>
    <w:rsid w:val="00146C23"/>
    <w:rsid w:val="00147EE3"/>
    <w:rsid w:val="00147F3C"/>
    <w:rsid w:val="0015082E"/>
    <w:rsid w:val="00151198"/>
    <w:rsid w:val="00155754"/>
    <w:rsid w:val="00180AE5"/>
    <w:rsid w:val="001869B5"/>
    <w:rsid w:val="001A020A"/>
    <w:rsid w:val="001A0FE0"/>
    <w:rsid w:val="001A23F8"/>
    <w:rsid w:val="001A4D67"/>
    <w:rsid w:val="001A67A3"/>
    <w:rsid w:val="001A797A"/>
    <w:rsid w:val="001C0DA5"/>
    <w:rsid w:val="001C35BA"/>
    <w:rsid w:val="001C67CF"/>
    <w:rsid w:val="001D5516"/>
    <w:rsid w:val="001D73A2"/>
    <w:rsid w:val="001E00C0"/>
    <w:rsid w:val="001E475A"/>
    <w:rsid w:val="001F04FB"/>
    <w:rsid w:val="001F5390"/>
    <w:rsid w:val="00202B7D"/>
    <w:rsid w:val="002177C1"/>
    <w:rsid w:val="002255BF"/>
    <w:rsid w:val="00226F27"/>
    <w:rsid w:val="002333D2"/>
    <w:rsid w:val="00240125"/>
    <w:rsid w:val="00251957"/>
    <w:rsid w:val="002521F5"/>
    <w:rsid w:val="00253CA5"/>
    <w:rsid w:val="002649A3"/>
    <w:rsid w:val="00270970"/>
    <w:rsid w:val="00273D7C"/>
    <w:rsid w:val="002832CC"/>
    <w:rsid w:val="00283537"/>
    <w:rsid w:val="00284820"/>
    <w:rsid w:val="00284D22"/>
    <w:rsid w:val="002857E2"/>
    <w:rsid w:val="00291F5C"/>
    <w:rsid w:val="00292B4A"/>
    <w:rsid w:val="00292F30"/>
    <w:rsid w:val="00296575"/>
    <w:rsid w:val="002A2213"/>
    <w:rsid w:val="002A603B"/>
    <w:rsid w:val="002A704D"/>
    <w:rsid w:val="002B7066"/>
    <w:rsid w:val="002C00C1"/>
    <w:rsid w:val="002C0FA2"/>
    <w:rsid w:val="002C1DCC"/>
    <w:rsid w:val="002C3E8A"/>
    <w:rsid w:val="002D6314"/>
    <w:rsid w:val="002D6AC5"/>
    <w:rsid w:val="002D6E01"/>
    <w:rsid w:val="002E184F"/>
    <w:rsid w:val="002E4F5D"/>
    <w:rsid w:val="002F0D83"/>
    <w:rsid w:val="002F1DF1"/>
    <w:rsid w:val="002F7F2E"/>
    <w:rsid w:val="00305C8C"/>
    <w:rsid w:val="0031026B"/>
    <w:rsid w:val="003118FB"/>
    <w:rsid w:val="00334B5C"/>
    <w:rsid w:val="00340661"/>
    <w:rsid w:val="003440C6"/>
    <w:rsid w:val="00346097"/>
    <w:rsid w:val="00352B59"/>
    <w:rsid w:val="003553C8"/>
    <w:rsid w:val="00371161"/>
    <w:rsid w:val="00375227"/>
    <w:rsid w:val="00376278"/>
    <w:rsid w:val="003812D6"/>
    <w:rsid w:val="003819DD"/>
    <w:rsid w:val="00391BEA"/>
    <w:rsid w:val="00391D59"/>
    <w:rsid w:val="00391E09"/>
    <w:rsid w:val="00393CF9"/>
    <w:rsid w:val="00397A33"/>
    <w:rsid w:val="003A14FB"/>
    <w:rsid w:val="003A314B"/>
    <w:rsid w:val="003A37B3"/>
    <w:rsid w:val="003B30E3"/>
    <w:rsid w:val="003C01BE"/>
    <w:rsid w:val="003C4A5D"/>
    <w:rsid w:val="003C577E"/>
    <w:rsid w:val="003D1DBE"/>
    <w:rsid w:val="003D47D8"/>
    <w:rsid w:val="003D7F58"/>
    <w:rsid w:val="003E1FE8"/>
    <w:rsid w:val="003E2C08"/>
    <w:rsid w:val="003F495D"/>
    <w:rsid w:val="003F775D"/>
    <w:rsid w:val="004035C9"/>
    <w:rsid w:val="0040364F"/>
    <w:rsid w:val="00420188"/>
    <w:rsid w:val="00420956"/>
    <w:rsid w:val="00426508"/>
    <w:rsid w:val="00431B76"/>
    <w:rsid w:val="00433F3D"/>
    <w:rsid w:val="00434BDE"/>
    <w:rsid w:val="00435F5C"/>
    <w:rsid w:val="004422E8"/>
    <w:rsid w:val="0044331F"/>
    <w:rsid w:val="00445463"/>
    <w:rsid w:val="00445707"/>
    <w:rsid w:val="00445949"/>
    <w:rsid w:val="004472DF"/>
    <w:rsid w:val="004519D3"/>
    <w:rsid w:val="004526FD"/>
    <w:rsid w:val="004702F7"/>
    <w:rsid w:val="00474258"/>
    <w:rsid w:val="0048586A"/>
    <w:rsid w:val="004915D7"/>
    <w:rsid w:val="00496185"/>
    <w:rsid w:val="004A43AC"/>
    <w:rsid w:val="004B03C6"/>
    <w:rsid w:val="004B6679"/>
    <w:rsid w:val="004C1CD4"/>
    <w:rsid w:val="004C2C43"/>
    <w:rsid w:val="004D1294"/>
    <w:rsid w:val="004D15A4"/>
    <w:rsid w:val="004D251A"/>
    <w:rsid w:val="004D34F1"/>
    <w:rsid w:val="004D4995"/>
    <w:rsid w:val="004D7A53"/>
    <w:rsid w:val="004E0FA6"/>
    <w:rsid w:val="004E26CE"/>
    <w:rsid w:val="004E4043"/>
    <w:rsid w:val="004E73DA"/>
    <w:rsid w:val="004E7E91"/>
    <w:rsid w:val="004F1F1B"/>
    <w:rsid w:val="004F7B61"/>
    <w:rsid w:val="00507232"/>
    <w:rsid w:val="00512D4A"/>
    <w:rsid w:val="00513DC1"/>
    <w:rsid w:val="00516476"/>
    <w:rsid w:val="00516C53"/>
    <w:rsid w:val="0052097B"/>
    <w:rsid w:val="0052733C"/>
    <w:rsid w:val="00530FED"/>
    <w:rsid w:val="00531CFD"/>
    <w:rsid w:val="00533470"/>
    <w:rsid w:val="00537DD3"/>
    <w:rsid w:val="00540A75"/>
    <w:rsid w:val="0054180E"/>
    <w:rsid w:val="00550C4F"/>
    <w:rsid w:val="00554767"/>
    <w:rsid w:val="005572B0"/>
    <w:rsid w:val="00557AF1"/>
    <w:rsid w:val="00561367"/>
    <w:rsid w:val="00573A74"/>
    <w:rsid w:val="00573C87"/>
    <w:rsid w:val="005810E8"/>
    <w:rsid w:val="00583A17"/>
    <w:rsid w:val="005842C6"/>
    <w:rsid w:val="00586DEF"/>
    <w:rsid w:val="005908CA"/>
    <w:rsid w:val="005930FB"/>
    <w:rsid w:val="005967FF"/>
    <w:rsid w:val="005A179F"/>
    <w:rsid w:val="005A1A28"/>
    <w:rsid w:val="005A6A87"/>
    <w:rsid w:val="005A7C4C"/>
    <w:rsid w:val="005C1030"/>
    <w:rsid w:val="005C363A"/>
    <w:rsid w:val="005C6EAB"/>
    <w:rsid w:val="005C7A5D"/>
    <w:rsid w:val="005D19A5"/>
    <w:rsid w:val="005D5938"/>
    <w:rsid w:val="005D5F5A"/>
    <w:rsid w:val="005D6276"/>
    <w:rsid w:val="005E013F"/>
    <w:rsid w:val="005E2A16"/>
    <w:rsid w:val="005E2F74"/>
    <w:rsid w:val="005E453B"/>
    <w:rsid w:val="005E68C8"/>
    <w:rsid w:val="005F5762"/>
    <w:rsid w:val="00600046"/>
    <w:rsid w:val="00601650"/>
    <w:rsid w:val="0060328A"/>
    <w:rsid w:val="00604229"/>
    <w:rsid w:val="006138EA"/>
    <w:rsid w:val="00615C1B"/>
    <w:rsid w:val="006268E1"/>
    <w:rsid w:val="00626CFA"/>
    <w:rsid w:val="0062796C"/>
    <w:rsid w:val="0063148E"/>
    <w:rsid w:val="0063303A"/>
    <w:rsid w:val="00633718"/>
    <w:rsid w:val="00634E72"/>
    <w:rsid w:val="00642850"/>
    <w:rsid w:val="00643A14"/>
    <w:rsid w:val="00645CC4"/>
    <w:rsid w:val="006501B2"/>
    <w:rsid w:val="0065214F"/>
    <w:rsid w:val="00655072"/>
    <w:rsid w:val="0065691C"/>
    <w:rsid w:val="0065762B"/>
    <w:rsid w:val="00660313"/>
    <w:rsid w:val="00661AAB"/>
    <w:rsid w:val="00664C56"/>
    <w:rsid w:val="0066545D"/>
    <w:rsid w:val="00667E25"/>
    <w:rsid w:val="00671150"/>
    <w:rsid w:val="00672C4F"/>
    <w:rsid w:val="006743D1"/>
    <w:rsid w:val="00680101"/>
    <w:rsid w:val="00682B81"/>
    <w:rsid w:val="00682C09"/>
    <w:rsid w:val="0068398A"/>
    <w:rsid w:val="0069142A"/>
    <w:rsid w:val="00692067"/>
    <w:rsid w:val="00694411"/>
    <w:rsid w:val="006A28AD"/>
    <w:rsid w:val="006A47F2"/>
    <w:rsid w:val="006A7758"/>
    <w:rsid w:val="006C3D05"/>
    <w:rsid w:val="006D5886"/>
    <w:rsid w:val="006E7088"/>
    <w:rsid w:val="006F01E1"/>
    <w:rsid w:val="006F21B2"/>
    <w:rsid w:val="006F390D"/>
    <w:rsid w:val="006F3F92"/>
    <w:rsid w:val="007007D0"/>
    <w:rsid w:val="0070206C"/>
    <w:rsid w:val="00705280"/>
    <w:rsid w:val="007056B7"/>
    <w:rsid w:val="00713C56"/>
    <w:rsid w:val="00725FEB"/>
    <w:rsid w:val="00730B72"/>
    <w:rsid w:val="007350D3"/>
    <w:rsid w:val="00736685"/>
    <w:rsid w:val="00736743"/>
    <w:rsid w:val="00740FB2"/>
    <w:rsid w:val="007462AE"/>
    <w:rsid w:val="00756FBD"/>
    <w:rsid w:val="007600F9"/>
    <w:rsid w:val="007601BA"/>
    <w:rsid w:val="00765A64"/>
    <w:rsid w:val="007725BD"/>
    <w:rsid w:val="00774CDB"/>
    <w:rsid w:val="00777F18"/>
    <w:rsid w:val="007877C9"/>
    <w:rsid w:val="00787EBD"/>
    <w:rsid w:val="00790247"/>
    <w:rsid w:val="00792927"/>
    <w:rsid w:val="007977EE"/>
    <w:rsid w:val="007A2646"/>
    <w:rsid w:val="007B0CF1"/>
    <w:rsid w:val="007B30B7"/>
    <w:rsid w:val="007B60AF"/>
    <w:rsid w:val="007B6600"/>
    <w:rsid w:val="007B705D"/>
    <w:rsid w:val="007C1A94"/>
    <w:rsid w:val="007C267B"/>
    <w:rsid w:val="007C47E5"/>
    <w:rsid w:val="007D24BA"/>
    <w:rsid w:val="007D33B9"/>
    <w:rsid w:val="007D42F9"/>
    <w:rsid w:val="007E1432"/>
    <w:rsid w:val="007E4FAE"/>
    <w:rsid w:val="007F0C38"/>
    <w:rsid w:val="007F3FE5"/>
    <w:rsid w:val="008034EB"/>
    <w:rsid w:val="00803ECB"/>
    <w:rsid w:val="00806585"/>
    <w:rsid w:val="00814705"/>
    <w:rsid w:val="00815F7C"/>
    <w:rsid w:val="008404F3"/>
    <w:rsid w:val="0084134A"/>
    <w:rsid w:val="0084164D"/>
    <w:rsid w:val="0084197A"/>
    <w:rsid w:val="00841D2F"/>
    <w:rsid w:val="00854344"/>
    <w:rsid w:val="00854738"/>
    <w:rsid w:val="00864696"/>
    <w:rsid w:val="008668AB"/>
    <w:rsid w:val="008670A8"/>
    <w:rsid w:val="00870CF2"/>
    <w:rsid w:val="00871D75"/>
    <w:rsid w:val="00874695"/>
    <w:rsid w:val="008772B3"/>
    <w:rsid w:val="0087770D"/>
    <w:rsid w:val="00880AF5"/>
    <w:rsid w:val="0088303D"/>
    <w:rsid w:val="008878C1"/>
    <w:rsid w:val="008914AA"/>
    <w:rsid w:val="00891B9A"/>
    <w:rsid w:val="00894993"/>
    <w:rsid w:val="00895028"/>
    <w:rsid w:val="00895565"/>
    <w:rsid w:val="008A45D2"/>
    <w:rsid w:val="008A4E5C"/>
    <w:rsid w:val="008A6AD4"/>
    <w:rsid w:val="008B2EAD"/>
    <w:rsid w:val="008B477C"/>
    <w:rsid w:val="008B740C"/>
    <w:rsid w:val="008C23E9"/>
    <w:rsid w:val="008C48EA"/>
    <w:rsid w:val="008C5D1B"/>
    <w:rsid w:val="008C7EC9"/>
    <w:rsid w:val="008D3602"/>
    <w:rsid w:val="008E0055"/>
    <w:rsid w:val="008E1487"/>
    <w:rsid w:val="008E2B1B"/>
    <w:rsid w:val="009055F3"/>
    <w:rsid w:val="00906831"/>
    <w:rsid w:val="00907A8F"/>
    <w:rsid w:val="00907C8F"/>
    <w:rsid w:val="00907CAF"/>
    <w:rsid w:val="00907E22"/>
    <w:rsid w:val="009107D4"/>
    <w:rsid w:val="00911C81"/>
    <w:rsid w:val="00912758"/>
    <w:rsid w:val="00913114"/>
    <w:rsid w:val="009154A8"/>
    <w:rsid w:val="00917045"/>
    <w:rsid w:val="00922B42"/>
    <w:rsid w:val="00933B16"/>
    <w:rsid w:val="00937697"/>
    <w:rsid w:val="00946120"/>
    <w:rsid w:val="009472CD"/>
    <w:rsid w:val="0094779F"/>
    <w:rsid w:val="00950195"/>
    <w:rsid w:val="00950F19"/>
    <w:rsid w:val="00955E32"/>
    <w:rsid w:val="00962E72"/>
    <w:rsid w:val="00963872"/>
    <w:rsid w:val="009743AA"/>
    <w:rsid w:val="00976CFB"/>
    <w:rsid w:val="00982FD8"/>
    <w:rsid w:val="009856EE"/>
    <w:rsid w:val="00990980"/>
    <w:rsid w:val="00993DF0"/>
    <w:rsid w:val="009A3BAD"/>
    <w:rsid w:val="009A57CB"/>
    <w:rsid w:val="009A5B49"/>
    <w:rsid w:val="009A6935"/>
    <w:rsid w:val="009B5B27"/>
    <w:rsid w:val="009B7FD0"/>
    <w:rsid w:val="009C2E3B"/>
    <w:rsid w:val="009C51B6"/>
    <w:rsid w:val="009E01E0"/>
    <w:rsid w:val="009E230E"/>
    <w:rsid w:val="009E2685"/>
    <w:rsid w:val="009E3351"/>
    <w:rsid w:val="009E3BCE"/>
    <w:rsid w:val="00A02618"/>
    <w:rsid w:val="00A05B58"/>
    <w:rsid w:val="00A14E29"/>
    <w:rsid w:val="00A22D89"/>
    <w:rsid w:val="00A27E9E"/>
    <w:rsid w:val="00A34B40"/>
    <w:rsid w:val="00A35DB7"/>
    <w:rsid w:val="00A416E2"/>
    <w:rsid w:val="00A51446"/>
    <w:rsid w:val="00A5168F"/>
    <w:rsid w:val="00A51941"/>
    <w:rsid w:val="00A55003"/>
    <w:rsid w:val="00A55322"/>
    <w:rsid w:val="00A653A8"/>
    <w:rsid w:val="00A666E1"/>
    <w:rsid w:val="00A712E7"/>
    <w:rsid w:val="00A71ECD"/>
    <w:rsid w:val="00A77968"/>
    <w:rsid w:val="00A80112"/>
    <w:rsid w:val="00A80D9F"/>
    <w:rsid w:val="00A83CF2"/>
    <w:rsid w:val="00A8456E"/>
    <w:rsid w:val="00A91338"/>
    <w:rsid w:val="00AA06EE"/>
    <w:rsid w:val="00AA2589"/>
    <w:rsid w:val="00AA47D2"/>
    <w:rsid w:val="00AB1D83"/>
    <w:rsid w:val="00AC11FC"/>
    <w:rsid w:val="00AC14A5"/>
    <w:rsid w:val="00AC23EB"/>
    <w:rsid w:val="00AD0CEF"/>
    <w:rsid w:val="00AD7045"/>
    <w:rsid w:val="00AD7B12"/>
    <w:rsid w:val="00AE185A"/>
    <w:rsid w:val="00AE360C"/>
    <w:rsid w:val="00AE3F26"/>
    <w:rsid w:val="00AE5648"/>
    <w:rsid w:val="00AE7746"/>
    <w:rsid w:val="00AF2B49"/>
    <w:rsid w:val="00AF3E05"/>
    <w:rsid w:val="00AF4A4B"/>
    <w:rsid w:val="00B100E9"/>
    <w:rsid w:val="00B10239"/>
    <w:rsid w:val="00B136F6"/>
    <w:rsid w:val="00B23964"/>
    <w:rsid w:val="00B25659"/>
    <w:rsid w:val="00B26F2C"/>
    <w:rsid w:val="00B270BF"/>
    <w:rsid w:val="00B30ED3"/>
    <w:rsid w:val="00B50652"/>
    <w:rsid w:val="00B56DD5"/>
    <w:rsid w:val="00B57027"/>
    <w:rsid w:val="00B67A1A"/>
    <w:rsid w:val="00B71EC4"/>
    <w:rsid w:val="00B73A3E"/>
    <w:rsid w:val="00B92C49"/>
    <w:rsid w:val="00B96749"/>
    <w:rsid w:val="00BB247B"/>
    <w:rsid w:val="00BB6C43"/>
    <w:rsid w:val="00BC0FC0"/>
    <w:rsid w:val="00BD2A64"/>
    <w:rsid w:val="00BD62B2"/>
    <w:rsid w:val="00BE1C64"/>
    <w:rsid w:val="00BE771C"/>
    <w:rsid w:val="00BF0AAF"/>
    <w:rsid w:val="00BF0CB3"/>
    <w:rsid w:val="00BF40C4"/>
    <w:rsid w:val="00BF6FBD"/>
    <w:rsid w:val="00C0410A"/>
    <w:rsid w:val="00C140D0"/>
    <w:rsid w:val="00C22CD4"/>
    <w:rsid w:val="00C2451A"/>
    <w:rsid w:val="00C27389"/>
    <w:rsid w:val="00C331B9"/>
    <w:rsid w:val="00C4461C"/>
    <w:rsid w:val="00C55095"/>
    <w:rsid w:val="00C62DF7"/>
    <w:rsid w:val="00C64104"/>
    <w:rsid w:val="00C64650"/>
    <w:rsid w:val="00C65DDD"/>
    <w:rsid w:val="00C7187A"/>
    <w:rsid w:val="00C72DF6"/>
    <w:rsid w:val="00C73240"/>
    <w:rsid w:val="00C8012E"/>
    <w:rsid w:val="00C81F60"/>
    <w:rsid w:val="00C83AAD"/>
    <w:rsid w:val="00CA0A89"/>
    <w:rsid w:val="00CA2A46"/>
    <w:rsid w:val="00CB0CFB"/>
    <w:rsid w:val="00CC0A4A"/>
    <w:rsid w:val="00CC78E0"/>
    <w:rsid w:val="00CD3C0E"/>
    <w:rsid w:val="00CD5086"/>
    <w:rsid w:val="00CE1FF0"/>
    <w:rsid w:val="00CE4E6F"/>
    <w:rsid w:val="00CF3BC0"/>
    <w:rsid w:val="00CF5B4C"/>
    <w:rsid w:val="00D05F34"/>
    <w:rsid w:val="00D11E8E"/>
    <w:rsid w:val="00D138EB"/>
    <w:rsid w:val="00D20A5E"/>
    <w:rsid w:val="00D2243B"/>
    <w:rsid w:val="00D27335"/>
    <w:rsid w:val="00D32215"/>
    <w:rsid w:val="00D34891"/>
    <w:rsid w:val="00D51611"/>
    <w:rsid w:val="00D5210B"/>
    <w:rsid w:val="00D5365F"/>
    <w:rsid w:val="00D56176"/>
    <w:rsid w:val="00D566B8"/>
    <w:rsid w:val="00D66081"/>
    <w:rsid w:val="00D67E07"/>
    <w:rsid w:val="00D71792"/>
    <w:rsid w:val="00D71F52"/>
    <w:rsid w:val="00D74267"/>
    <w:rsid w:val="00D840BB"/>
    <w:rsid w:val="00D9312E"/>
    <w:rsid w:val="00D9533A"/>
    <w:rsid w:val="00DA5ED9"/>
    <w:rsid w:val="00DA7469"/>
    <w:rsid w:val="00DB1D2B"/>
    <w:rsid w:val="00DB1F49"/>
    <w:rsid w:val="00DB21A4"/>
    <w:rsid w:val="00DB48FB"/>
    <w:rsid w:val="00DB5259"/>
    <w:rsid w:val="00DB64DB"/>
    <w:rsid w:val="00DB6627"/>
    <w:rsid w:val="00DC2B7F"/>
    <w:rsid w:val="00DC4EDD"/>
    <w:rsid w:val="00DC5A5C"/>
    <w:rsid w:val="00DC6E77"/>
    <w:rsid w:val="00DD195E"/>
    <w:rsid w:val="00DD2734"/>
    <w:rsid w:val="00DD5FF1"/>
    <w:rsid w:val="00DE152B"/>
    <w:rsid w:val="00DE1876"/>
    <w:rsid w:val="00DE674A"/>
    <w:rsid w:val="00DE75F7"/>
    <w:rsid w:val="00DE76CE"/>
    <w:rsid w:val="00DF609E"/>
    <w:rsid w:val="00E0144E"/>
    <w:rsid w:val="00E014FC"/>
    <w:rsid w:val="00E01B43"/>
    <w:rsid w:val="00E07FEB"/>
    <w:rsid w:val="00E14181"/>
    <w:rsid w:val="00E15286"/>
    <w:rsid w:val="00E15E40"/>
    <w:rsid w:val="00E179ED"/>
    <w:rsid w:val="00E207D1"/>
    <w:rsid w:val="00E23D11"/>
    <w:rsid w:val="00E269F0"/>
    <w:rsid w:val="00E3276C"/>
    <w:rsid w:val="00E369AE"/>
    <w:rsid w:val="00E4002C"/>
    <w:rsid w:val="00E40929"/>
    <w:rsid w:val="00E4156E"/>
    <w:rsid w:val="00E46307"/>
    <w:rsid w:val="00E47860"/>
    <w:rsid w:val="00E53B20"/>
    <w:rsid w:val="00E5474F"/>
    <w:rsid w:val="00E5482B"/>
    <w:rsid w:val="00E6258C"/>
    <w:rsid w:val="00E62A77"/>
    <w:rsid w:val="00E64513"/>
    <w:rsid w:val="00E7118B"/>
    <w:rsid w:val="00E90F43"/>
    <w:rsid w:val="00E91451"/>
    <w:rsid w:val="00E94008"/>
    <w:rsid w:val="00E94A0C"/>
    <w:rsid w:val="00E95ABF"/>
    <w:rsid w:val="00EA01E9"/>
    <w:rsid w:val="00EA71E3"/>
    <w:rsid w:val="00EA7ABC"/>
    <w:rsid w:val="00EB45F7"/>
    <w:rsid w:val="00EB5DED"/>
    <w:rsid w:val="00EB740A"/>
    <w:rsid w:val="00EC3372"/>
    <w:rsid w:val="00EC732A"/>
    <w:rsid w:val="00ED39F9"/>
    <w:rsid w:val="00EE2AA1"/>
    <w:rsid w:val="00EE6E54"/>
    <w:rsid w:val="00EF422F"/>
    <w:rsid w:val="00EF46E9"/>
    <w:rsid w:val="00F01F21"/>
    <w:rsid w:val="00F032CC"/>
    <w:rsid w:val="00F03C5F"/>
    <w:rsid w:val="00F0490C"/>
    <w:rsid w:val="00F0717E"/>
    <w:rsid w:val="00F22141"/>
    <w:rsid w:val="00F235BE"/>
    <w:rsid w:val="00F32852"/>
    <w:rsid w:val="00F33902"/>
    <w:rsid w:val="00F34873"/>
    <w:rsid w:val="00F34B4D"/>
    <w:rsid w:val="00F405FE"/>
    <w:rsid w:val="00F412B9"/>
    <w:rsid w:val="00F46CDF"/>
    <w:rsid w:val="00F621C0"/>
    <w:rsid w:val="00F62C8C"/>
    <w:rsid w:val="00F737BD"/>
    <w:rsid w:val="00F843C4"/>
    <w:rsid w:val="00F84E52"/>
    <w:rsid w:val="00F878AF"/>
    <w:rsid w:val="00F93D29"/>
    <w:rsid w:val="00F94AA3"/>
    <w:rsid w:val="00FA3EA7"/>
    <w:rsid w:val="00FA4563"/>
    <w:rsid w:val="00FA66E8"/>
    <w:rsid w:val="00FA7CCB"/>
    <w:rsid w:val="00FB3DE3"/>
    <w:rsid w:val="00FB4353"/>
    <w:rsid w:val="00FB56BC"/>
    <w:rsid w:val="00FB6E5A"/>
    <w:rsid w:val="00FB702D"/>
    <w:rsid w:val="00FC6478"/>
    <w:rsid w:val="00FD07D4"/>
    <w:rsid w:val="00FD623C"/>
    <w:rsid w:val="00FD7AFA"/>
    <w:rsid w:val="00FE23CB"/>
    <w:rsid w:val="00FE4996"/>
    <w:rsid w:val="00FF2F7B"/>
    <w:rsid w:val="00FF6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D43D7"/>
  <w15:docId w15:val="{E9DFB54F-0DBA-9344-8E3D-D1107EEF6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8" w:uiPriority="39"/>
    <w:lsdException w:name="toc 9" w:uiPriority="39"/>
    <w:lsdException w:name="annotation text" w:uiPriority="99"/>
    <w:lsdException w:name="header"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4A5D"/>
    <w:pPr>
      <w:spacing w:before="120" w:after="120"/>
    </w:pPr>
    <w:rPr>
      <w:rFonts w:ascii="Trebuchet MS" w:hAnsi="Trebuchet MS"/>
      <w:szCs w:val="24"/>
      <w:lang w:val="ro-RO"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basedOn w:val="Normal"/>
    <w:next w:val="Normal"/>
    <w:qFormat/>
    <w:pPr>
      <w:keepNext/>
      <w:numPr>
        <w:ilvl w:val="3"/>
        <w:numId w:val="2"/>
      </w:numPr>
      <w:spacing w:before="24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rPr>
  </w:style>
  <w:style w:type="paragraph" w:styleId="BodyText">
    <w:name w:val="Body Text"/>
    <w:basedOn w:val="Normal"/>
    <w:link w:val="BodyTextChar"/>
    <w:pPr>
      <w:spacing w:after="60"/>
    </w:pPr>
    <w:rPr>
      <w:rFonts w:ascii="Arial" w:hAnsi="Arial" w:cs="Arial"/>
      <w:iCs/>
    </w:rPr>
  </w:style>
  <w:style w:type="paragraph" w:customStyle="1" w:styleId="bulletX">
    <w:name w:val="bulletX"/>
    <w:basedOn w:val="Normal"/>
    <w:pPr>
      <w:numPr>
        <w:numId w:val="1"/>
      </w:numPr>
      <w:autoSpaceDE w:val="0"/>
      <w:autoSpaceDN w:val="0"/>
      <w:adjustRightInd w:val="0"/>
    </w:pPr>
    <w:rPr>
      <w:rFonts w:ascii="Arial,Bold" w:hAnsi="Arial,Bold" w:cs="Arial"/>
      <w:szCs w:val="22"/>
    </w:rPr>
  </w:style>
  <w:style w:type="paragraph" w:customStyle="1" w:styleId="eval">
    <w:name w:val="eval"/>
    <w:basedOn w:val="Heading3"/>
    <w:pPr>
      <w:numPr>
        <w:ilvl w:val="4"/>
      </w:numPr>
      <w:tabs>
        <w:tab w:val="clear" w:pos="2232"/>
        <w:tab w:val="num" w:pos="3600"/>
      </w:tabs>
      <w:ind w:left="3600" w:hanging="360"/>
    </w:p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rPr>
      <w:rFonts w:ascii="Arial" w:hAnsi="Arial" w:cs="Arial"/>
      <w:sz w:val="18"/>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Pr>
      <w:vertAlign w:val="superscript"/>
    </w:rPr>
  </w:style>
  <w:style w:type="paragraph" w:styleId="DocumentMap">
    <w:name w:val="Document Map"/>
    <w:basedOn w:val="Normal"/>
    <w:semiHidden/>
    <w:pPr>
      <w:shd w:val="clear" w:color="auto" w:fill="000080"/>
    </w:pPr>
    <w:rPr>
      <w:rFonts w:ascii="Tahoma" w:hAnsi="Tahoma" w:cs="Tahoma"/>
    </w:rPr>
  </w:style>
  <w:style w:type="character" w:styleId="PageNumber">
    <w:name w:val="page number"/>
    <w:basedOn w:val="DefaultParagraphFont"/>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Cs w:val="20"/>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Title">
    <w:name w:val="Title"/>
    <w:basedOn w:val="Normal"/>
    <w:qFormat/>
    <w:pPr>
      <w:jc w:val="center"/>
    </w:pPr>
    <w:rPr>
      <w:b/>
      <w:bCs/>
    </w:rPr>
  </w:style>
  <w:style w:type="paragraph" w:customStyle="1" w:styleId="bullet">
    <w:name w:val="bullet"/>
    <w:basedOn w:val="Normal"/>
    <w:pPr>
      <w:numPr>
        <w:numId w:val="3"/>
      </w:numPr>
      <w:jc w:val="both"/>
    </w:pPr>
    <w:rPr>
      <w:rFonts w:cs="Arial"/>
    </w:rPr>
  </w:style>
  <w:style w:type="paragraph" w:customStyle="1" w:styleId="bullet1">
    <w:name w:val="bullet1"/>
    <w:basedOn w:val="Normal"/>
    <w:pPr>
      <w:numPr>
        <w:numId w:val="4"/>
      </w:numPr>
      <w:spacing w:before="40" w:after="40"/>
    </w:pPr>
  </w:style>
  <w:style w:type="paragraph" w:styleId="TOC6">
    <w:name w:val="toc 6"/>
    <w:basedOn w:val="Normal"/>
    <w:next w:val="Normal"/>
    <w:autoRedefine/>
    <w:semiHidden/>
    <w:pPr>
      <w:ind w:left="1000"/>
    </w:pPr>
  </w:style>
  <w:style w:type="paragraph" w:styleId="EndnoteText">
    <w:name w:val="endnote text"/>
    <w:basedOn w:val="Normal"/>
    <w:semiHidden/>
    <w:rPr>
      <w:rFonts w:ascii="Arial" w:hAnsi="Arial" w:cs="Arial"/>
      <w:sz w:val="18"/>
      <w:szCs w:val="20"/>
    </w:rPr>
  </w:style>
  <w:style w:type="character" w:styleId="EndnoteReference">
    <w:name w:val="endnote reference"/>
    <w:semiHidden/>
    <w:rPr>
      <w:rFonts w:ascii="Arial" w:hAnsi="Arial" w:cs="Arial"/>
      <w:sz w:val="18"/>
      <w:vertAlign w:val="superscript"/>
    </w:rPr>
  </w:style>
  <w:style w:type="paragraph" w:styleId="BalloonText">
    <w:name w:val="Balloon Text"/>
    <w:basedOn w:val="Normal"/>
    <w:semiHidden/>
    <w:rsid w:val="00D74267"/>
    <w:rPr>
      <w:rFonts w:ascii="Tahoma" w:hAnsi="Tahoma" w:cs="Tahoma"/>
      <w:sz w:val="16"/>
      <w:szCs w:val="16"/>
    </w:rPr>
  </w:style>
  <w:style w:type="paragraph" w:customStyle="1" w:styleId="Normal1">
    <w:name w:val="Normal1"/>
    <w:basedOn w:val="Normal"/>
    <w:rsid w:val="00C55095"/>
    <w:pPr>
      <w:spacing w:before="60" w:after="60"/>
      <w:jc w:val="both"/>
    </w:pPr>
  </w:style>
  <w:style w:type="paragraph" w:styleId="CommentSubject">
    <w:name w:val="annotation subject"/>
    <w:basedOn w:val="CommentText"/>
    <w:next w:val="CommentText"/>
    <w:link w:val="CommentSubjectChar"/>
    <w:rsid w:val="00600046"/>
    <w:rPr>
      <w:b/>
      <w:bCs/>
    </w:rPr>
  </w:style>
  <w:style w:type="character" w:customStyle="1" w:styleId="CommentTextChar">
    <w:name w:val="Comment Text Char"/>
    <w:link w:val="CommentText"/>
    <w:uiPriority w:val="99"/>
    <w:semiHidden/>
    <w:rsid w:val="00600046"/>
    <w:rPr>
      <w:rFonts w:ascii="Trebuchet MS" w:hAnsi="Trebuchet MS"/>
      <w:lang w:eastAsia="en-US"/>
    </w:rPr>
  </w:style>
  <w:style w:type="character" w:customStyle="1" w:styleId="CommentSubjectChar">
    <w:name w:val="Comment Subject Char"/>
    <w:link w:val="CommentSubject"/>
    <w:rsid w:val="00600046"/>
    <w:rPr>
      <w:rFonts w:ascii="Trebuchet MS" w:hAnsi="Trebuchet MS"/>
      <w:b/>
      <w:bCs/>
      <w:lang w:eastAsia="en-US"/>
    </w:rPr>
  </w:style>
  <w:style w:type="paragraph" w:styleId="TOC8">
    <w:name w:val="toc 8"/>
    <w:basedOn w:val="Normal"/>
    <w:next w:val="Normal"/>
    <w:autoRedefine/>
    <w:uiPriority w:val="39"/>
    <w:rsid w:val="00B23964"/>
    <w:pPr>
      <w:numPr>
        <w:ilvl w:val="4"/>
        <w:numId w:val="3"/>
      </w:numPr>
      <w:jc w:val="both"/>
    </w:pPr>
  </w:style>
  <w:style w:type="paragraph" w:customStyle="1" w:styleId="Head1-Art">
    <w:name w:val="Head1-Art"/>
    <w:basedOn w:val="Normal"/>
    <w:rsid w:val="00790247"/>
    <w:pPr>
      <w:numPr>
        <w:numId w:val="5"/>
      </w:numPr>
      <w:jc w:val="both"/>
    </w:pPr>
    <w:rPr>
      <w:b/>
      <w:bCs/>
      <w:caps/>
    </w:rPr>
  </w:style>
  <w:style w:type="paragraph" w:customStyle="1" w:styleId="Head2-Alin">
    <w:name w:val="Head2-Alin"/>
    <w:basedOn w:val="Head1-Art"/>
    <w:rsid w:val="00790247"/>
    <w:pPr>
      <w:numPr>
        <w:ilvl w:val="1"/>
      </w:numPr>
    </w:pPr>
    <w:rPr>
      <w:b w:val="0"/>
      <w:bCs w:val="0"/>
      <w:caps w:val="0"/>
    </w:rPr>
  </w:style>
  <w:style w:type="paragraph" w:customStyle="1" w:styleId="Head3-Bullet">
    <w:name w:val="Head3-Bullet"/>
    <w:basedOn w:val="Head2-Alin"/>
    <w:rsid w:val="00790247"/>
    <w:pPr>
      <w:numPr>
        <w:ilvl w:val="2"/>
      </w:numPr>
    </w:pPr>
  </w:style>
  <w:style w:type="paragraph" w:customStyle="1" w:styleId="Head4-Subsect">
    <w:name w:val="Head4-Subsect"/>
    <w:basedOn w:val="Head3-Bullet"/>
    <w:rsid w:val="00790247"/>
    <w:pPr>
      <w:numPr>
        <w:ilvl w:val="3"/>
      </w:numPr>
    </w:pPr>
    <w:rPr>
      <w:b/>
      <w:bCs/>
    </w:rPr>
  </w:style>
  <w:style w:type="paragraph" w:customStyle="1" w:styleId="Head5-Subsect">
    <w:name w:val="Head5-Subsect"/>
    <w:basedOn w:val="Head4-Subsect"/>
    <w:rsid w:val="00790247"/>
    <w:pPr>
      <w:numPr>
        <w:ilvl w:val="4"/>
      </w:numPr>
    </w:pPr>
  </w:style>
  <w:style w:type="paragraph" w:styleId="TOC9">
    <w:name w:val="toc 9"/>
    <w:basedOn w:val="Normal"/>
    <w:next w:val="Normal"/>
    <w:autoRedefine/>
    <w:uiPriority w:val="39"/>
    <w:rsid w:val="00645CC4"/>
    <w:pPr>
      <w:ind w:left="1600"/>
    </w:p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link w:val="FootnoteText"/>
    <w:rsid w:val="00B67A1A"/>
    <w:rPr>
      <w:rFonts w:ascii="Arial" w:hAnsi="Arial" w:cs="Arial"/>
      <w:sz w:val="18"/>
      <w:lang w:eastAsia="en-US"/>
    </w:rPr>
  </w:style>
  <w:style w:type="paragraph" w:styleId="Revision">
    <w:name w:val="Revision"/>
    <w:hidden/>
    <w:uiPriority w:val="99"/>
    <w:semiHidden/>
    <w:rsid w:val="00F03C5F"/>
    <w:rPr>
      <w:rFonts w:ascii="Trebuchet MS" w:hAnsi="Trebuchet MS"/>
      <w:szCs w:val="24"/>
      <w:lang w:val="ro-RO" w:eastAsia="en-US"/>
    </w:rPr>
  </w:style>
  <w:style w:type="paragraph" w:styleId="ListNumber2">
    <w:name w:val="List Number 2"/>
    <w:basedOn w:val="Normal"/>
    <w:rsid w:val="005D5938"/>
    <w:pPr>
      <w:numPr>
        <w:numId w:val="6"/>
      </w:numPr>
      <w:jc w:val="both"/>
    </w:pPr>
    <w:rPr>
      <w:rFonts w:cs="Arial"/>
      <w:sz w:val="22"/>
      <w:szCs w:val="20"/>
      <w:lang w:val="en-US" w:eastAsia="el-GR"/>
    </w:rPr>
  </w:style>
  <w:style w:type="character" w:customStyle="1" w:styleId="BodyTextChar">
    <w:name w:val="Body Text Char"/>
    <w:link w:val="BodyText"/>
    <w:rsid w:val="004C1CD4"/>
    <w:rPr>
      <w:rFonts w:ascii="Arial" w:hAnsi="Arial" w:cs="Arial"/>
      <w:iCs/>
      <w:szCs w:val="24"/>
      <w:lang w:eastAsia="en-US"/>
    </w:rPr>
  </w:style>
  <w:style w:type="paragraph" w:customStyle="1" w:styleId="CM1">
    <w:name w:val="CM1"/>
    <w:basedOn w:val="Normal"/>
    <w:next w:val="Normal"/>
    <w:uiPriority w:val="99"/>
    <w:rsid w:val="000A29F9"/>
    <w:pPr>
      <w:autoSpaceDE w:val="0"/>
      <w:autoSpaceDN w:val="0"/>
      <w:adjustRightInd w:val="0"/>
      <w:spacing w:before="0" w:after="0"/>
    </w:pPr>
    <w:rPr>
      <w:rFonts w:ascii="EUAlbertina" w:hAnsi="EUAlbertina"/>
      <w:sz w:val="24"/>
      <w:lang w:eastAsia="ro-RO"/>
    </w:rPr>
  </w:style>
  <w:style w:type="paragraph" w:customStyle="1" w:styleId="CM3">
    <w:name w:val="CM3"/>
    <w:basedOn w:val="Normal"/>
    <w:next w:val="Normal"/>
    <w:uiPriority w:val="99"/>
    <w:rsid w:val="000A29F9"/>
    <w:pPr>
      <w:autoSpaceDE w:val="0"/>
      <w:autoSpaceDN w:val="0"/>
      <w:adjustRightInd w:val="0"/>
      <w:spacing w:before="0" w:after="0"/>
    </w:pPr>
    <w:rPr>
      <w:rFonts w:ascii="EUAlbertina" w:hAnsi="EUAlbertina"/>
      <w:sz w:val="24"/>
      <w:lang w:eastAsia="ro-RO"/>
    </w:rPr>
  </w:style>
  <w:style w:type="character" w:customStyle="1" w:styleId="HeaderChar">
    <w:name w:val="Header Char"/>
    <w:link w:val="Header"/>
    <w:rsid w:val="001D73A2"/>
    <w:rPr>
      <w:rFonts w:ascii="Trebuchet MS" w:hAnsi="Trebuchet MS"/>
      <w:szCs w:val="24"/>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E76CE"/>
    <w:pPr>
      <w:spacing w:before="0" w:after="160" w:line="240" w:lineRule="exact"/>
    </w:pPr>
    <w:rPr>
      <w:rFonts w:ascii="Times New Roman" w:hAnsi="Times New Roman"/>
      <w:szCs w:val="20"/>
      <w:vertAlign w:val="superscript"/>
      <w:lang w:eastAsia="ro-RO"/>
    </w:rPr>
  </w:style>
  <w:style w:type="character" w:customStyle="1" w:styleId="FooterChar">
    <w:name w:val="Footer Char"/>
    <w:link w:val="Footer"/>
    <w:uiPriority w:val="99"/>
    <w:rsid w:val="00E64513"/>
    <w:rPr>
      <w:rFonts w:ascii="Trebuchet MS" w:hAnsi="Trebuchet MS"/>
      <w:szCs w:val="24"/>
      <w:lang w:eastAsia="en-US"/>
    </w:rPr>
  </w:style>
  <w:style w:type="paragraph" w:styleId="ListParagraph">
    <w:name w:val="List Paragraph"/>
    <w:aliases w:val="Paragraph,Citation List,ANNEX,bu,b,B,b1,Bullet 1,bullet 1,body,b Char Char Char,b Char Char Char Char Char Char,b Char Char,Body Char1 Char1,b Char Char Char Char Char Char Char Char,body 2,List Paragraph11,Normal bullet 2"/>
    <w:basedOn w:val="Normal"/>
    <w:link w:val="ListParagraphChar"/>
    <w:uiPriority w:val="34"/>
    <w:qFormat/>
    <w:rsid w:val="00E53B20"/>
    <w:pPr>
      <w:ind w:left="708"/>
    </w:pPr>
  </w:style>
  <w:style w:type="character" w:styleId="PlaceholderText">
    <w:name w:val="Placeholder Text"/>
    <w:uiPriority w:val="99"/>
    <w:semiHidden/>
    <w:rsid w:val="00FA4563"/>
    <w:rPr>
      <w:color w:val="808080"/>
    </w:rPr>
  </w:style>
  <w:style w:type="character" w:customStyle="1" w:styleId="markedcontent">
    <w:name w:val="markedcontent"/>
    <w:rsid w:val="00AE185A"/>
  </w:style>
  <w:style w:type="character" w:customStyle="1" w:styleId="salnbdy">
    <w:name w:val="s_aln_bdy"/>
    <w:rsid w:val="00D5210B"/>
  </w:style>
  <w:style w:type="character" w:customStyle="1" w:styleId="sden">
    <w:name w:val="s_den"/>
    <w:rsid w:val="00E4002C"/>
  </w:style>
  <w:style w:type="character" w:customStyle="1" w:styleId="shdr">
    <w:name w:val="s_hdr"/>
    <w:rsid w:val="00E4002C"/>
  </w:style>
  <w:style w:type="table" w:styleId="TableGrid">
    <w:name w:val="Table Grid"/>
    <w:basedOn w:val="TableNormal"/>
    <w:rsid w:val="00BB6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Paragraph Char,Citation List Char,ANNEX Char,bu Char,b Char,B Char,b1 Char,Bullet 1 Char,bullet 1 Char,body Char,b Char Char Char Char,b Char Char Char Char Char Char Char,b Char Char Char1,Body Char1 Char1 Char,body 2 Char"/>
    <w:link w:val="ListParagraph"/>
    <w:uiPriority w:val="34"/>
    <w:qFormat/>
    <w:locked/>
    <w:rsid w:val="00FA7CCB"/>
    <w:rPr>
      <w:rFonts w:ascii="Trebuchet MS" w:hAnsi="Trebuchet MS"/>
      <w:szCs w:val="24"/>
      <w:lang w:val="ro-RO" w:eastAsia="en-US"/>
    </w:rPr>
  </w:style>
  <w:style w:type="paragraph" w:customStyle="1" w:styleId="Style4">
    <w:name w:val="Style4"/>
    <w:basedOn w:val="Normal"/>
    <w:link w:val="Style4Char"/>
    <w:rsid w:val="005A7C4C"/>
    <w:rPr>
      <w:b/>
      <w:sz w:val="22"/>
    </w:rPr>
  </w:style>
  <w:style w:type="character" w:customStyle="1" w:styleId="Style4Char">
    <w:name w:val="Style4 Char"/>
    <w:basedOn w:val="DefaultParagraphFont"/>
    <w:link w:val="Style4"/>
    <w:rsid w:val="005A7C4C"/>
    <w:rPr>
      <w:rFonts w:ascii="Trebuchet MS" w:hAnsi="Trebuchet MS"/>
      <w:b/>
      <w:sz w:val="22"/>
      <w:szCs w:val="24"/>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090389">
      <w:bodyDiv w:val="1"/>
      <w:marLeft w:val="0"/>
      <w:marRight w:val="0"/>
      <w:marTop w:val="0"/>
      <w:marBottom w:val="0"/>
      <w:divBdr>
        <w:top w:val="none" w:sz="0" w:space="0" w:color="auto"/>
        <w:left w:val="none" w:sz="0" w:space="0" w:color="auto"/>
        <w:bottom w:val="none" w:sz="0" w:space="0" w:color="auto"/>
        <w:right w:val="none" w:sz="0" w:space="0" w:color="auto"/>
      </w:divBdr>
    </w:div>
    <w:div w:id="568999657">
      <w:bodyDiv w:val="1"/>
      <w:marLeft w:val="0"/>
      <w:marRight w:val="0"/>
      <w:marTop w:val="0"/>
      <w:marBottom w:val="0"/>
      <w:divBdr>
        <w:top w:val="none" w:sz="0" w:space="0" w:color="auto"/>
        <w:left w:val="none" w:sz="0" w:space="0" w:color="auto"/>
        <w:bottom w:val="none" w:sz="0" w:space="0" w:color="auto"/>
        <w:right w:val="none" w:sz="0" w:space="0" w:color="auto"/>
      </w:divBdr>
    </w:div>
    <w:div w:id="1089422595">
      <w:bodyDiv w:val="1"/>
      <w:marLeft w:val="0"/>
      <w:marRight w:val="0"/>
      <w:marTop w:val="0"/>
      <w:marBottom w:val="0"/>
      <w:divBdr>
        <w:top w:val="none" w:sz="0" w:space="0" w:color="auto"/>
        <w:left w:val="none" w:sz="0" w:space="0" w:color="auto"/>
        <w:bottom w:val="none" w:sz="0" w:space="0" w:color="auto"/>
        <w:right w:val="none" w:sz="0" w:space="0" w:color="auto"/>
      </w:divBdr>
    </w:div>
    <w:div w:id="1104767085">
      <w:bodyDiv w:val="1"/>
      <w:marLeft w:val="0"/>
      <w:marRight w:val="0"/>
      <w:marTop w:val="0"/>
      <w:marBottom w:val="0"/>
      <w:divBdr>
        <w:top w:val="none" w:sz="0" w:space="0" w:color="auto"/>
        <w:left w:val="none" w:sz="0" w:space="0" w:color="auto"/>
        <w:bottom w:val="none" w:sz="0" w:space="0" w:color="auto"/>
        <w:right w:val="none" w:sz="0" w:space="0" w:color="auto"/>
      </w:divBdr>
    </w:div>
    <w:div w:id="1438527403">
      <w:bodyDiv w:val="1"/>
      <w:marLeft w:val="0"/>
      <w:marRight w:val="0"/>
      <w:marTop w:val="0"/>
      <w:marBottom w:val="0"/>
      <w:divBdr>
        <w:top w:val="none" w:sz="0" w:space="0" w:color="auto"/>
        <w:left w:val="none" w:sz="0" w:space="0" w:color="auto"/>
        <w:bottom w:val="none" w:sz="0" w:space="0" w:color="auto"/>
        <w:right w:val="none" w:sz="0" w:space="0" w:color="auto"/>
      </w:divBdr>
    </w:div>
    <w:div w:id="1579515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759632BD4144FA7BD0C9663AA8280E1"/>
        <w:category>
          <w:name w:val="General"/>
          <w:gallery w:val="placeholder"/>
        </w:category>
        <w:types>
          <w:type w:val="bbPlcHdr"/>
        </w:types>
        <w:behaviors>
          <w:behavior w:val="content"/>
        </w:behaviors>
        <w:guid w:val="{7F3ADEDF-EF35-46E9-8263-4C5157265EE5}"/>
      </w:docPartPr>
      <w:docPartBody>
        <w:p w:rsidR="00000000" w:rsidRDefault="0017591E" w:rsidP="0017591E">
          <w:pPr>
            <w:pStyle w:val="A759632BD4144FA7BD0C9663AA8280E1"/>
          </w:pPr>
          <w:r w:rsidRPr="005728E1">
            <w:rPr>
              <w:rFonts w:cstheme="minorHAnsi"/>
              <w:color w:val="808080" w:themeColor="background1" w:themeShade="80"/>
              <w:highlight w:val="lightGray"/>
            </w:rPr>
            <w:t>[….]</w:t>
          </w:r>
        </w:p>
      </w:docPartBody>
    </w:docPart>
    <w:docPart>
      <w:docPartPr>
        <w:name w:val="9BB5C4C1B7944C53A012977E14E38AE2"/>
        <w:category>
          <w:name w:val="General"/>
          <w:gallery w:val="placeholder"/>
        </w:category>
        <w:types>
          <w:type w:val="bbPlcHdr"/>
        </w:types>
        <w:behaviors>
          <w:behavior w:val="content"/>
        </w:behaviors>
        <w:guid w:val="{EEED3E09-24BF-46F6-A526-4013609345AD}"/>
      </w:docPartPr>
      <w:docPartBody>
        <w:p w:rsidR="00000000" w:rsidRDefault="0017591E" w:rsidP="0017591E">
          <w:pPr>
            <w:pStyle w:val="9BB5C4C1B7944C53A012977E14E38AE2"/>
          </w:pPr>
          <w:r w:rsidRPr="005728E1">
            <w:rPr>
              <w:rFonts w:cstheme="minorHAnsi"/>
              <w:color w:val="808080" w:themeColor="background1" w:themeShade="80"/>
              <w:highlight w:val="lightGray"/>
            </w:rPr>
            <w:t>[….]</w:t>
          </w:r>
        </w:p>
      </w:docPartBody>
    </w:docPart>
    <w:docPart>
      <w:docPartPr>
        <w:name w:val="0488E1AE72AF4AD1871664DB6986DE04"/>
        <w:category>
          <w:name w:val="General"/>
          <w:gallery w:val="placeholder"/>
        </w:category>
        <w:types>
          <w:type w:val="bbPlcHdr"/>
        </w:types>
        <w:behaviors>
          <w:behavior w:val="content"/>
        </w:behaviors>
        <w:guid w:val="{F7767530-A9D3-4DA6-8F1A-C6BF6460CC37}"/>
      </w:docPartPr>
      <w:docPartBody>
        <w:p w:rsidR="00000000" w:rsidRDefault="0017591E" w:rsidP="0017591E">
          <w:pPr>
            <w:pStyle w:val="0488E1AE72AF4AD1871664DB6986DE04"/>
          </w:pPr>
          <w:r w:rsidRPr="005728E1">
            <w:rPr>
              <w:rFonts w:cstheme="minorHAnsi"/>
              <w:color w:val="808080" w:themeColor="background1" w:themeShade="80"/>
              <w:highlight w:val="lightGray"/>
            </w:rPr>
            <w:t>[Selectează data]</w:t>
          </w:r>
        </w:p>
      </w:docPartBody>
    </w:docPart>
    <w:docPart>
      <w:docPartPr>
        <w:name w:val="2BC44EC954EA4B939AA35735386E5F92"/>
        <w:category>
          <w:name w:val="General"/>
          <w:gallery w:val="placeholder"/>
        </w:category>
        <w:types>
          <w:type w:val="bbPlcHdr"/>
        </w:types>
        <w:behaviors>
          <w:behavior w:val="content"/>
        </w:behaviors>
        <w:guid w:val="{BA681156-E16D-48F5-B08C-9D834DBE24A6}"/>
      </w:docPartPr>
      <w:docPartBody>
        <w:p w:rsidR="00000000" w:rsidRDefault="0017591E" w:rsidP="0017591E">
          <w:pPr>
            <w:pStyle w:val="2BC44EC954EA4B939AA35735386E5F92"/>
          </w:pPr>
          <w:r w:rsidRPr="005728E1">
            <w:rPr>
              <w:rFonts w:cstheme="minorHAnsi"/>
              <w:color w:val="808080" w:themeColor="background1" w:themeShade="80"/>
              <w:highlight w:val="lightGray"/>
            </w:rPr>
            <w:t>[Nume și prenume]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charset w:val="00"/>
    <w:family w:val="auto"/>
    <w:pitch w:val="variable"/>
    <w:sig w:usb0="800002EF" w:usb1="1000E0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91E"/>
    <w:rsid w:val="0017591E"/>
    <w:rsid w:val="009776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759632BD4144FA7BD0C9663AA8280E1">
    <w:name w:val="A759632BD4144FA7BD0C9663AA8280E1"/>
    <w:rsid w:val="0017591E"/>
  </w:style>
  <w:style w:type="paragraph" w:customStyle="1" w:styleId="9BB5C4C1B7944C53A012977E14E38AE2">
    <w:name w:val="9BB5C4C1B7944C53A012977E14E38AE2"/>
    <w:rsid w:val="0017591E"/>
  </w:style>
  <w:style w:type="paragraph" w:customStyle="1" w:styleId="D8ABAC5EA67E4AE398135B854C753EB4">
    <w:name w:val="D8ABAC5EA67E4AE398135B854C753EB4"/>
    <w:rsid w:val="0017591E"/>
  </w:style>
  <w:style w:type="paragraph" w:customStyle="1" w:styleId="0488E1AE72AF4AD1871664DB6986DE04">
    <w:name w:val="0488E1AE72AF4AD1871664DB6986DE04"/>
    <w:rsid w:val="0017591E"/>
  </w:style>
  <w:style w:type="paragraph" w:customStyle="1" w:styleId="2BC44EC954EA4B939AA35735386E5F92">
    <w:name w:val="2BC44EC954EA4B939AA35735386E5F92"/>
    <w:rsid w:val="001759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A0D05-ACB1-426E-8B97-585E207CE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2260</Words>
  <Characters>12888</Characters>
  <Application>Microsoft Office Word</Application>
  <DocSecurity>0</DocSecurity>
  <Lines>107</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vt:lpstr>
      <vt:lpstr>ANEXA</vt:lpstr>
    </vt:vector>
  </TitlesOfParts>
  <Company>MDLPL</Company>
  <LinksUpToDate>false</LinksUpToDate>
  <CharactersWithSpaces>15118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dc:title>
  <dc:subject/>
  <dc:creator>Alina CRINTEA</dc:creator>
  <cp:keywords>4.3 – Sprijinirea dezvoltării microîntreprinderilor</cp:keywords>
  <dc:description/>
  <cp:lastModifiedBy>Mircea.Dina</cp:lastModifiedBy>
  <cp:revision>2</cp:revision>
  <cp:lastPrinted>2022-02-04T07:38:00Z</cp:lastPrinted>
  <dcterms:created xsi:type="dcterms:W3CDTF">2023-02-08T08:14:00Z</dcterms:created>
  <dcterms:modified xsi:type="dcterms:W3CDTF">2023-02-08T08:14:00Z</dcterms:modified>
</cp:coreProperties>
</file>